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EBC2" w14:textId="77777777" w:rsidR="00C7370E" w:rsidRDefault="00C7370E" w:rsidP="00C7370E">
      <w:pPr>
        <w:pStyle w:val="Kop5"/>
      </w:pPr>
      <w:r>
        <w:t>Consolidatieplicht</w:t>
      </w:r>
    </w:p>
    <w:p w14:paraId="6E324266" w14:textId="6D80A211" w:rsidR="00C7370E" w:rsidRDefault="00C7370E" w:rsidP="00C7370E">
      <w:r>
        <w:t>De waterschapsverordening</w:t>
      </w:r>
      <w:r w:rsidRPr="00A824AF">
        <w:t xml:space="preserve"> </w:t>
      </w:r>
      <w:r>
        <w:t xml:space="preserve">bevat algemeen verbindende voorschriften. Daarom moet het waterschap er voor zorgen dat de </w:t>
      </w:r>
      <w:r w:rsidRPr="00C7370E">
        <w:t xml:space="preserve">waterschapsverordening </w:t>
      </w:r>
      <w:r w:rsidRPr="00F24C93">
        <w:t>in geconsolideerde vorm</w:t>
      </w:r>
      <w:r>
        <w:t xml:space="preserve"> beschikbaar is</w:t>
      </w:r>
      <w:r>
        <w:rPr>
          <w:rStyle w:val="Voetnootmarkering"/>
        </w:rPr>
        <w:footnoteReference w:id="169"/>
      </w:r>
      <w:r>
        <w:t xml:space="preserve"> op de door de minister van BZK </w:t>
      </w:r>
      <w:r w:rsidRPr="00EB6A94">
        <w:t>in stand gehouden digitale infrastructuur</w:t>
      </w:r>
      <w:r>
        <w:rPr>
          <w:rStyle w:val="Voetnootmarkering"/>
        </w:rPr>
        <w:footnoteReference w:id="170"/>
      </w:r>
      <w:r>
        <w:t xml:space="preserve">: de lokale regelingenbanken op overheid.nl. </w:t>
      </w:r>
      <w:r w:rsidRPr="00565ACD">
        <w:t>Te consolideren wijzigingen in een algemeen verbindend voorschrift kunnen als bron hebbe</w:t>
      </w:r>
      <w:r>
        <w:t>n</w:t>
      </w:r>
      <w:r>
        <w:rPr>
          <w:rStyle w:val="Voetnootmarkering"/>
        </w:rPr>
        <w:footnoteReference w:id="171"/>
      </w:r>
      <w:r>
        <w:t>:</w:t>
      </w:r>
    </w:p>
    <w:p w14:paraId="192A237D" w14:textId="77777777" w:rsidR="00C7370E" w:rsidRDefault="00C7370E" w:rsidP="00C7370E">
      <w:pPr>
        <w:pStyle w:val="Opsommingtekens1"/>
      </w:pPr>
      <w:r>
        <w:t>Een wijzigingsopdracht in een nieuw algemeen verbindend voorschrift (lees: een wijzigingsbesluit); of</w:t>
      </w:r>
    </w:p>
    <w:p w14:paraId="00A04390" w14:textId="77777777" w:rsidR="00C7370E" w:rsidRDefault="00C7370E" w:rsidP="00C7370E">
      <w:pPr>
        <w:pStyle w:val="Opsommingtekens1"/>
      </w:pPr>
      <w:r>
        <w:t>een rechterlijke uitspraak die wordt gepubliceerd in het publicatieblad overeenkomstig artikel 8:80 Awb.</w:t>
      </w:r>
    </w:p>
    <w:p w14:paraId="4F2CB5EE" w14:textId="4C281D9A" w:rsidR="0096341A" w:rsidRDefault="00C7370E" w:rsidP="00440967">
      <w:r>
        <w:t xml:space="preserve">Dit betekent dat </w:t>
      </w:r>
      <w:r w:rsidRPr="00C7370E">
        <w:t xml:space="preserve">het waterschap </w:t>
      </w:r>
      <w:r>
        <w:t xml:space="preserve">er voor moet zorgen dat iedere wijziging </w:t>
      </w:r>
      <w:r w:rsidRPr="00C7370E">
        <w:t xml:space="preserve">wordt verwerkt </w:t>
      </w:r>
      <w:r>
        <w:t xml:space="preserve">in de geconsolideerde regeling van de </w:t>
      </w:r>
      <w:r w:rsidRPr="00C7370E">
        <w:t>waterschapsverordening</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