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_Ref_c95cec67bb71823443aa8a81a94e683f_1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_Ref_e3331a48c14e528da0f788a3f4f5e391_1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_Ref_7130904ca043aa2f2fc84a0f67ae0c9f_1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w:t>
      </w:r>
      <w:r w:rsidR="0031459E">
        <w:t>e ambtelijke organisatie verwerkt d</w:t>
      </w:r>
      <w:r>
        <w:t>eze eventuele wijzigingen in de plansoftware.</w:t>
      </w:r>
    </w:p>
    <w:p w14:paraId="7CD3DA19" w14:textId="7208437D" w:rsidR="0096341A"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aan het waterschap.</w:t>
      </w:r>
    </w:p>
    <w:p w14:paraId="6CC33A8E" w14:textId="4212061A" w:rsidR="0096341A"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al is aangegeven zijn er geen wettelijke </w:t>
      </w:r>
      <w:r w:rsidRPr="004E79C8">
        <w:lastRenderedPageBreak/>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p>
    <w:p w14:paraId="0E1114AB" w14:textId="18AA548C"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