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A69E6" w14:textId="77777777" w:rsidR="00E80FE7" w:rsidRDefault="00E80FE7" w:rsidP="00E80FE7">
      <w:pPr>
        <w:pStyle w:val="Kop5"/>
      </w:pPr>
      <w:r>
        <w:t>Juridisch kader</w:t>
      </w:r>
    </w:p>
    <w:p w14:paraId="4BF85AC6" w14:textId="6EFC86AE" w:rsidR="0096341A" w:rsidRDefault="0015414B" w:rsidP="00E80FE7">
      <w:pPr>
        <w:spacing w:before="240"/>
      </w:pPr>
      <w:r>
        <w:t xml:space="preserve">Het </w:t>
      </w:r>
      <w:r w:rsidR="003230A3" w:rsidRPr="003230A3">
        <w:t xml:space="preserve">college van burgemeester en wethouders, het algemeen bestuur van het waterschap, gedeputeerde staten </w:t>
      </w:r>
      <w:r w:rsidR="003230A3">
        <w:t xml:space="preserve">respectievelijk </w:t>
      </w:r>
      <w:r w:rsidR="003230A3" w:rsidRPr="003230A3">
        <w:t>de minister die het aangaat</w:t>
      </w:r>
      <w:r w:rsidR="00E80FE7">
        <w:t xml:space="preserve"> stelt </w:t>
      </w:r>
      <w:r w:rsidR="00797307">
        <w:t>het programma</w:t>
      </w:r>
      <w:r w:rsidR="00E80FE7">
        <w:t xml:space="preserve"> vast</w:t>
      </w:r>
      <w:r w:rsidR="00E80FE7">
        <w:rPr>
          <w:rStyle w:val="Voetnootmarkering"/>
        </w:rPr>
        <w:footnoteReference w:id="392"/>
      </w:r>
      <w:r w:rsidR="00E80FE7">
        <w:t>. Deze bevoegdheid kan niet ge</w:t>
      </w:r>
      <w:r w:rsidR="00E80FE7" w:rsidRPr="007C3B79">
        <w:t>delege</w:t>
      </w:r>
      <w:r w:rsidR="00E80FE7">
        <w:t>e</w:t>
      </w:r>
      <w:r w:rsidR="00E80FE7" w:rsidRPr="007C3B79">
        <w:t>r</w:t>
      </w:r>
      <w:r w:rsidR="00E80FE7">
        <w:t>d</w:t>
      </w:r>
      <w:r w:rsidR="00E80FE7" w:rsidRPr="007C3B79">
        <w:t xml:space="preserve"> </w:t>
      </w:r>
      <w:r w:rsidR="00E80FE7">
        <w:t>worden.</w:t>
      </w:r>
    </w:p>
    <w:p w14:paraId="7D77AB49" w14:textId="11BF3719" w:rsidR="00E80FE7" w:rsidRPr="00D07D7D" w:rsidRDefault="00E80FE7" w:rsidP="00E80FE7">
      <w:pPr>
        <w:rPr>
          <w:strike/>
        </w:rPr>
      </w:pPr>
      <w:r w:rsidRPr="001D5AA5">
        <w:t xml:space="preserve">Bij het vaststellen van </w:t>
      </w:r>
      <w:r w:rsidR="00797307">
        <w:t>het programma</w:t>
      </w:r>
      <w:r w:rsidRPr="00AE255C">
        <w:t xml:space="preserve"> </w:t>
      </w:r>
      <w:r w:rsidRPr="001D5AA5">
        <w:t>wordt aangegeven hoe burgers, bedrijven, maatschappelijke organisaties en bestuursorganen bij de voorbereiding zijn betrokken en wat de resultaten daarvan zijn</w:t>
      </w:r>
      <w:r w:rsidR="00DE25E0">
        <w:rPr>
          <w:rStyle w:val="Voetnootmarkering"/>
        </w:rPr>
        <w:footnoteReference w:id="393"/>
      </w:r>
      <w:r w:rsidRPr="001D5AA5">
        <w:t xml:space="preserve">. </w:t>
      </w:r>
      <w:r>
        <w:t xml:space="preserve">In het geval van een </w:t>
      </w:r>
      <w:r w:rsidR="0004131A">
        <w:t xml:space="preserve">programma van </w:t>
      </w:r>
      <w:r>
        <w:t>gemeente</w:t>
      </w:r>
      <w:r w:rsidR="0004131A">
        <w:t>,</w:t>
      </w:r>
      <w:r>
        <w:t xml:space="preserve"> provincie </w:t>
      </w:r>
      <w:r w:rsidR="00D43BF7">
        <w:t>of waterschap</w:t>
      </w:r>
      <w:r>
        <w:t xml:space="preserv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94"/>
      </w:r>
      <w:r w:rsidRPr="001D5AA5">
        <w:t>.</w:t>
      </w:r>
      <w:r>
        <w:t xml:space="preserve"> </w:t>
      </w:r>
      <w:r w:rsidR="00051189">
        <w:t xml:space="preserve">Het besluit </w:t>
      </w:r>
      <w:r w:rsidR="00051189" w:rsidRPr="001975FA">
        <w:t>dient te berusten op een deugdelijke motivering</w:t>
      </w:r>
      <w:r w:rsidR="00051189">
        <w:t xml:space="preserve">, die moet worden </w:t>
      </w:r>
      <w:r w:rsidR="00051189" w:rsidRPr="00112897">
        <w:t>vermeld bij de bekendmaking van het besluit</w:t>
      </w:r>
      <w:r w:rsidR="00051189">
        <w:rPr>
          <w:rStyle w:val="Voetnootmarkering"/>
        </w:rPr>
        <w:footnoteReference w:id="395"/>
      </w:r>
      <w:r w:rsidR="00051189" w:rsidRPr="001975FA">
        <w:t>.</w:t>
      </w:r>
    </w:p>
    <w:p w14:paraId="72F316FD" w14:textId="133A19E2" w:rsidR="00E80FE7" w:rsidRDefault="00E80FE7" w:rsidP="00E80FE7">
      <w:r w:rsidRPr="005B0916">
        <w:t xml:space="preserve">Het </w:t>
      </w:r>
      <w:r w:rsidR="0069686B" w:rsidRPr="0069686B">
        <w:t xml:space="preserve">programma </w:t>
      </w:r>
      <w:r w:rsidR="00BF05A2">
        <w:t xml:space="preserve">dan wel het </w:t>
      </w:r>
      <w:r w:rsidRPr="005B0916">
        <w:t xml:space="preserve">besluit tot wijziging van </w:t>
      </w:r>
      <w:r w:rsidR="00797307">
        <w:t xml:space="preserve">het </w:t>
      </w:r>
      <w:r w:rsidR="00BF05A2">
        <w:t xml:space="preserve">programma </w:t>
      </w:r>
      <w:r w:rsidRPr="005B0916">
        <w:t xml:space="preserve">wordt bekendgemaakt door plaatsing in </w:t>
      </w:r>
      <w:r w:rsidRPr="00BC35EE">
        <w:t>het gemeenteblad, het provinciaal blad</w:t>
      </w:r>
      <w:r w:rsidR="00AE0AAA">
        <w:t>, het waterschapsblad</w:t>
      </w:r>
      <w:r w:rsidRPr="00BC35EE">
        <w:t xml:space="preserve"> respectievelijk de Staatscourant</w:t>
      </w:r>
      <w:r w:rsidRPr="00AC0228">
        <w:rPr>
          <w:rStyle w:val="Voetnootmarkering"/>
        </w:rPr>
        <w:footnoteReference w:id="396"/>
      </w:r>
      <w:r w:rsidRPr="00AC0228">
        <w:t>.</w:t>
      </w:r>
      <w:r>
        <w:t xml:space="preserve"> </w:t>
      </w:r>
      <w:r w:rsidR="00E01E05" w:rsidRPr="00E01E05">
        <w:t xml:space="preserve">De gemeente, de provincie, het waterschap respectievelijk de minister kan zelf de datum van bekendmaking bepalen. </w:t>
      </w:r>
      <w:r>
        <w:t xml:space="preserve">Tegen </w:t>
      </w:r>
      <w:r w:rsidR="00EC64E0">
        <w:t xml:space="preserve">het </w:t>
      </w:r>
      <w:r w:rsidR="00797307">
        <w:t>programma</w:t>
      </w:r>
      <w:r>
        <w:t xml:space="preserve"> </w:t>
      </w:r>
      <w:r w:rsidR="00D7733B">
        <w:t>als bedoeld in de artikelen 3.4, 3.6 t/m 3.10, 3.14 en 3.15</w:t>
      </w:r>
      <w:r w:rsidR="00365289">
        <w:t xml:space="preserve"> </w:t>
      </w:r>
      <w:r>
        <w:t xml:space="preserve">staat geen </w:t>
      </w:r>
      <w:r w:rsidRPr="008E6D40">
        <w:t xml:space="preserve">beroep </w:t>
      </w:r>
      <w:r>
        <w:t>open</w:t>
      </w:r>
      <w:r w:rsidR="00917787">
        <w:t xml:space="preserve"> </w:t>
      </w:r>
      <w:r w:rsidR="00917787" w:rsidRPr="00917787">
        <w:t>voor zover het niet betreft een daarin opgenomen beschrijving van een activiteit als gevolg waarvan de activiteit is toegestaan</w:t>
      </w:r>
      <w:r>
        <w:rPr>
          <w:rStyle w:val="Voetnootmarkering"/>
        </w:rPr>
        <w:footnoteReference w:id="397"/>
      </w:r>
      <w:r w:rsidRPr="008E6D40">
        <w:t>.</w:t>
      </w:r>
      <w:r>
        <w:t xml:space="preserve"> </w:t>
      </w:r>
      <w:r w:rsidR="009554B8">
        <w:t xml:space="preserve">Een programma </w:t>
      </w:r>
      <w:r>
        <w:t xml:space="preserve">treedt </w:t>
      </w:r>
      <w:r w:rsidRPr="00AF6E05">
        <w:t xml:space="preserve">in werking </w:t>
      </w:r>
      <w:r w:rsidR="009554B8">
        <w:t xml:space="preserve">op </w:t>
      </w:r>
      <w:r w:rsidR="00B95674">
        <w:t>d</w:t>
      </w:r>
      <w:r w:rsidRPr="00AF6E05">
        <w:t>e datum van bekendmaking, tenzij in het besluit daarvoor een ander tijdstip is aangewezen.</w:t>
      </w:r>
      <w:r>
        <w:t xml:space="preserve"> Met de bekendmaking van </w:t>
      </w:r>
      <w:r w:rsidR="00797307">
        <w:t>het programma</w:t>
      </w:r>
      <w:r>
        <w:t xml:space="preserve"> is voldaan aan de bekendmakingsvereisten. Er wordt geen kennisgeving gedaan van de vaststelling of inwerkingtreding.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