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D155" w14:textId="77777777" w:rsidR="00E80FE7" w:rsidRDefault="00E80FE7" w:rsidP="00E80FE7">
      <w:pPr>
        <w:pStyle w:val="Kop5"/>
      </w:pPr>
      <w:r>
        <w:t>Voorbereiding</w:t>
      </w:r>
    </w:p>
    <w:p w14:paraId="29FC9999" w14:textId="52C7CA98" w:rsidR="00E80FE7" w:rsidRPr="00D07724" w:rsidRDefault="00E80FE7" w:rsidP="00E80FE7">
      <w:r>
        <w:t xml:space="preserve">Na de publicatie van het ontwerpbesluit en voor bekendmaking van het definitieve besluit vindt een extern en intern proces plaats. Er worden zienswijzen ingediend over het ontwerpbesluit, die zienswijzen worden beantwoord en wanneer er naar aanleiding van die zienswijzen aanpassingen in </w:t>
      </w:r>
      <w:r w:rsidR="00797307">
        <w:t>het programma</w:t>
      </w:r>
      <w:r>
        <w:t xml:space="preserve"> nodig zijn, </w:t>
      </w:r>
      <w:r w:rsidR="001560AC">
        <w:t>worden die in de plansoftware verwerkt</w:t>
      </w:r>
      <w:r>
        <w:t xml:space="preserve">. Vervolgens wordt een nieuwe versie van Besluit en Regeling gemaakt, die het interne besluitvormingsproces doorloopt. Dit resulteert in een voorstel aan het bevoegde bestuursorgaan. Bij het nemen van het besluit kan het bestuursorgaan nog wijzigingen aanbrengen (in het geval van </w:t>
      </w:r>
      <w:r w:rsidR="008116E1">
        <w:t xml:space="preserve">een programma dat wordt </w:t>
      </w:r>
      <w:r w:rsidR="004D1CD1">
        <w:t>vastgesteld</w:t>
      </w:r>
      <w:r w:rsidR="008116E1">
        <w:t xml:space="preserve"> door het </w:t>
      </w:r>
      <w:r>
        <w:t>algemeen bestuur</w:t>
      </w:r>
      <w:r w:rsidR="008116E1">
        <w:t xml:space="preserve"> van het waterschap</w:t>
      </w:r>
      <w:r>
        <w:t>: amendementen). Deze eventuele wijzigingen worden verwerkt in de plansoftware.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