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4C37" w14:textId="6D58E54B" w:rsidR="00E504E4" w:rsidRDefault="00E504E4" w:rsidP="006A75D2">
      <w:pPr>
        <w:pStyle w:val="Kop4"/>
      </w:pPr>
      <w:bookmarkStart w:id="1058" w:name="_Ref_88f6c8418e1d38887090b044508bc278_1"/>
      <w:r>
        <w:lastRenderedPageBreak/>
        <w:t>Vooroverleg</w:t>
      </w:r>
      <w:bookmarkEnd w:id="1058"/>
    </w:p>
    <w:p w14:paraId="06615E58" w14:textId="2DFD91C9" w:rsidR="00E504E4" w:rsidRPr="00E504E4" w:rsidRDefault="00E504E4" w:rsidP="00E504E4">
      <w:r>
        <w:t xml:space="preserve">GS respectievelijk de betreffende minister moeten, voorafgaand aan het geven van een instructie, </w:t>
      </w:r>
      <w:r w:rsidRPr="0017455B">
        <w:t xml:space="preserve">overleg </w:t>
      </w:r>
      <w:r>
        <w:t xml:space="preserve">voeren </w:t>
      </w:r>
      <w:r w:rsidRPr="0017455B">
        <w:t>met het bestuursorgaan waaraan de instructie wordt gegeven</w:t>
      </w:r>
      <w:r>
        <w:rPr>
          <w:rStyle w:val="Voetnootmarkering"/>
        </w:rPr>
        <w:footnoteReference w:id="398"/>
      </w:r>
      <w:r w:rsidRPr="0017455B">
        <w:t>.</w:t>
      </w:r>
      <w:r>
        <w:t xml:space="preserve"> V</w:t>
      </w:r>
      <w:r w:rsidRPr="00581490">
        <w:t xml:space="preserve">oor dit overleg </w:t>
      </w:r>
      <w:r>
        <w:t>gelden geen vormvereisten: het kan bijvoorbeeld worden gevoerd in de vorm van een telefoongesprek, een bespreekpunt tijdens een vergadering of een briefwisseling. De STOP/TPOD-standaard is op dit overleg niet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