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34D4B" w14:textId="77777777" w:rsidR="006A75D2" w:rsidRDefault="006A75D2" w:rsidP="006A75D2">
      <w:pPr>
        <w:pStyle w:val="Kop5"/>
      </w:pPr>
      <w:bookmarkStart w:id="1071" w:name="_Ref_08d043d4511059d0099447b7dc0b5dd3_1"/>
      <w:r>
        <w:t>Juridisch kader</w:t>
      </w:r>
      <w:bookmarkEnd w:id="1071"/>
    </w:p>
    <w:p w14:paraId="2DDD1245" w14:textId="73AFD938" w:rsidR="0096341A" w:rsidRPr="00D07D7D" w:rsidRDefault="006A75D2" w:rsidP="006A75D2">
      <w:pPr>
        <w:rPr>
          <w:strike/>
        </w:rPr>
      </w:pPr>
      <w:r>
        <w:t xml:space="preserve">Het besluit </w:t>
      </w:r>
      <w:r w:rsidR="00A665FB">
        <w:t xml:space="preserve">tot vaststelling of wijziging van een instructie </w:t>
      </w:r>
      <w:r w:rsidRPr="001975FA">
        <w:t>dient te berusten op een deugdelijke motivering</w:t>
      </w:r>
      <w:r>
        <w:t xml:space="preserve">, die moet worden </w:t>
      </w:r>
      <w:r w:rsidRPr="00112897">
        <w:t>vermeld bij de bekendmaking van het besluit</w:t>
      </w:r>
      <w:r>
        <w:rPr>
          <w:rStyle w:val="Voetnootmarkering"/>
        </w:rPr>
        <w:footnoteReference w:id="407"/>
      </w:r>
      <w:r w:rsidRPr="001975FA">
        <w:t>.</w:t>
      </w:r>
      <w:r w:rsidR="00FA0549">
        <w:t xml:space="preserve"> In die motivering </w:t>
      </w:r>
      <w:r w:rsidR="002379F4">
        <w:t xml:space="preserve">wordt </w:t>
      </w:r>
      <w:r w:rsidR="00FA0549">
        <w:t xml:space="preserve">onder andere aangegeven dat het op grond van artikel 10.6 Ob verplichte overleg met </w:t>
      </w:r>
      <w:r w:rsidR="00FA0549" w:rsidRPr="00FA0549">
        <w:t>het bestuursorgaan waaraan de instructie wordt gegeven</w:t>
      </w:r>
      <w:r w:rsidR="00FA0549">
        <w:t xml:space="preserve"> heeft plaatsgevonden en wat het resultaat van dat overleg is.</w:t>
      </w:r>
    </w:p>
    <w:p w14:paraId="0D75A390" w14:textId="3C2D2B76" w:rsidR="0096341A" w:rsidRDefault="00E01E05" w:rsidP="006A75D2">
      <w:r>
        <w:t xml:space="preserve">De instructie </w:t>
      </w:r>
      <w:r w:rsidR="006A75D2">
        <w:t xml:space="preserve">dan wel het </w:t>
      </w:r>
      <w:r w:rsidR="006A75D2" w:rsidRPr="005B0916">
        <w:t xml:space="preserve">besluit tot wijziging van </w:t>
      </w:r>
      <w:r w:rsidR="00BB23B1">
        <w:t>de instructie</w:t>
      </w:r>
      <w:r w:rsidR="006A75D2">
        <w:t xml:space="preserve"> </w:t>
      </w:r>
      <w:r>
        <w:t>is een besluit dat is gericht tot een belanghebbende</w:t>
      </w:r>
      <w:r w:rsidR="00D20BC4">
        <w:t>. De bekendmaking geschiedt daarom</w:t>
      </w:r>
      <w:r>
        <w:t xml:space="preserve"> </w:t>
      </w:r>
      <w:r w:rsidR="006A75D2" w:rsidRPr="005B0916">
        <w:t xml:space="preserve">door </w:t>
      </w:r>
      <w:r>
        <w:t>toezending aan het bestuursorgaan tot wie de instructie is gericht</w:t>
      </w:r>
      <w:r>
        <w:rPr>
          <w:rStyle w:val="Voetnootmarkering"/>
        </w:rPr>
        <w:footnoteReference w:id="408"/>
      </w:r>
      <w:r>
        <w:t>.</w:t>
      </w:r>
      <w:r w:rsidR="00FA0549">
        <w:t xml:space="preserve"> T</w:t>
      </w:r>
      <w:r w:rsidR="00FA0549" w:rsidRPr="00FA0549">
        <w:t xml:space="preserve">egelijk met of zo spoedig mogelijk na de bekendmaking </w:t>
      </w:r>
      <w:r w:rsidR="00FA0549">
        <w:t xml:space="preserve">moet het bestuursorgaan van provincie of Rijk </w:t>
      </w:r>
      <w:r w:rsidR="00FA0549" w:rsidRPr="00FA0549">
        <w:t xml:space="preserve">mededeling </w:t>
      </w:r>
      <w:r w:rsidR="00FA0549">
        <w:t xml:space="preserve">doen van die instructie </w:t>
      </w:r>
      <w:r w:rsidR="00FA0549" w:rsidRPr="00FA0549">
        <w:t>in het provinciaal blad respectievelijk de Staatscourant</w:t>
      </w:r>
      <w:r w:rsidR="00747F54">
        <w:rPr>
          <w:rStyle w:val="Voetnootmarkering"/>
        </w:rPr>
        <w:footnoteReference w:id="409"/>
      </w:r>
      <w:r w:rsidR="009B2939">
        <w:t>; dat houdt in publicatie van de volledige inhoud van de instructie</w:t>
      </w:r>
      <w:r w:rsidR="009532AC">
        <w:t xml:space="preserve"> in het betreffende publicatieblad</w:t>
      </w:r>
      <w:r w:rsidR="005C0612">
        <w:rPr>
          <w:rStyle w:val="Voetnootmarkering"/>
        </w:rPr>
        <w:footnoteReference w:id="410"/>
      </w:r>
      <w:r w:rsidR="009532AC">
        <w:t>.</w:t>
      </w:r>
      <w:r w:rsidR="006A75D2">
        <w:t xml:space="preserve"> </w:t>
      </w:r>
      <w:r w:rsidRPr="00E01E05">
        <w:t xml:space="preserve">De datum van bekendmaking </w:t>
      </w:r>
      <w:r w:rsidR="0043244A">
        <w:t>is de datum waarop de instructie is verzonden</w:t>
      </w:r>
      <w:r w:rsidRPr="00E01E05">
        <w:t>.</w:t>
      </w:r>
    </w:p>
    <w:p w14:paraId="14266D00" w14:textId="75107AF7" w:rsidR="00F5290F" w:rsidRDefault="00747F54" w:rsidP="00F5290F">
      <w:r w:rsidRPr="00697A2F">
        <w:t>Voor de mogelijkheid van beroep wordt een instructie geacht deel uit te maken van het besluit waarop dat besluit betrekking heeft</w:t>
      </w:r>
      <w:r w:rsidRPr="00697A2F">
        <w:rPr>
          <w:rStyle w:val="Voetnootmarkering"/>
        </w:rPr>
        <w:footnoteReference w:id="411"/>
      </w:r>
      <w:r w:rsidRPr="00697A2F">
        <w:t xml:space="preserve">. </w:t>
      </w:r>
      <w:r w:rsidR="006A6C2F" w:rsidRPr="00697A2F">
        <w:t xml:space="preserve">Dit betekent dat tegen een instructie </w:t>
      </w:r>
      <w:r w:rsidR="004F474F" w:rsidRPr="00697A2F">
        <w:t xml:space="preserve">waaraan uitvoering wordt gegeven </w:t>
      </w:r>
      <w:r w:rsidR="006A6C2F" w:rsidRPr="00697A2F">
        <w:t xml:space="preserve">door het nemen van een </w:t>
      </w:r>
      <w:r w:rsidR="00ED4379" w:rsidRPr="00697A2F">
        <w:t xml:space="preserve">voor beroep vatbaar </w:t>
      </w:r>
      <w:r w:rsidR="006A6C2F" w:rsidRPr="00697A2F">
        <w:t>besluit</w:t>
      </w:r>
      <w:r w:rsidR="005113B3">
        <w:t xml:space="preserve"> </w:t>
      </w:r>
      <w:r w:rsidR="005113B3" w:rsidRPr="005113B3">
        <w:t>(door het bestuursorgaan aan wie de instructie is gegeven)</w:t>
      </w:r>
      <w:r w:rsidR="00714F72" w:rsidRPr="00697A2F">
        <w:t>,</w:t>
      </w:r>
      <w:r w:rsidR="006A6C2F" w:rsidRPr="00697A2F">
        <w:t xml:space="preserve"> pas beroep kan worden ingesteld </w:t>
      </w:r>
      <w:r w:rsidR="00EE49EE" w:rsidRPr="00697A2F">
        <w:t>nadat</w:t>
      </w:r>
      <w:r w:rsidR="006A6C2F" w:rsidRPr="00697A2F">
        <w:t xml:space="preserve"> dat andere besluit </w:t>
      </w:r>
      <w:r w:rsidR="00EE49EE" w:rsidRPr="00697A2F">
        <w:t>is genomen en bekendgemaakt</w:t>
      </w:r>
      <w:r w:rsidR="006A6C2F" w:rsidRPr="00697A2F">
        <w:t xml:space="preserve">. </w:t>
      </w:r>
      <w:r w:rsidR="00E63216" w:rsidRPr="00697A2F">
        <w:t>Er kan dan in dezelfde periode beroep w</w:t>
      </w:r>
      <w:r w:rsidR="00FA186C" w:rsidRPr="00697A2F">
        <w:t xml:space="preserve">orden ingesteld tegen de instructie en het andere besluit. </w:t>
      </w:r>
      <w:r w:rsidR="006A6C2F" w:rsidRPr="00697A2F">
        <w:t>De instructie volgt de beroepsgang van dat andere besluit.</w:t>
      </w:r>
      <w:r w:rsidR="004F474F" w:rsidRPr="00697A2F">
        <w:t xml:space="preserve"> </w:t>
      </w:r>
      <w:r w:rsidR="00404B28" w:rsidRPr="00697A2F">
        <w:t xml:space="preserve">Voorbeelden van </w:t>
      </w:r>
      <w:r w:rsidR="0058062C" w:rsidRPr="00697A2F">
        <w:t>dit type</w:t>
      </w:r>
      <w:r w:rsidR="00404B28" w:rsidRPr="00697A2F">
        <w:t xml:space="preserve"> instructie zijn de instructie over het stellen van regels in het omgevingsplan en de instructie over een projectbesluit. </w:t>
      </w:r>
      <w:r w:rsidR="006A6C2F" w:rsidRPr="00697A2F">
        <w:t xml:space="preserve">Tegen een instructie </w:t>
      </w:r>
      <w:r w:rsidR="00ED4379" w:rsidRPr="00697A2F">
        <w:t xml:space="preserve">waaraan niet uitvoering wordt gegeven door het nemen van een voor beroep vatbaar besluit </w:t>
      </w:r>
      <w:r w:rsidR="006A6C2F" w:rsidRPr="00697A2F">
        <w:t xml:space="preserve">kan </w:t>
      </w:r>
      <w:r w:rsidR="00866EEA" w:rsidRPr="00697A2F">
        <w:t xml:space="preserve">rechtstreeks </w:t>
      </w:r>
      <w:r w:rsidR="006A6C2F" w:rsidRPr="00697A2F">
        <w:t xml:space="preserve">beroep worden ingesteld bij de Raad van State </w:t>
      </w:r>
      <w:r w:rsidR="001B05A1" w:rsidRPr="00697A2F">
        <w:t xml:space="preserve">(dus </w:t>
      </w:r>
      <w:r w:rsidR="006A6C2F" w:rsidRPr="00697A2F">
        <w:t>zonder dat er eerst een zienswijze of een bezwaarschrift moet worden ingediend</w:t>
      </w:r>
      <w:r w:rsidR="0077183A" w:rsidRPr="00697A2F">
        <w:t>)</w:t>
      </w:r>
      <w:r w:rsidR="006A6C2F" w:rsidRPr="00697A2F">
        <w:rPr>
          <w:rStyle w:val="Voetnootmarkering"/>
        </w:rPr>
        <w:footnoteReference w:id="412"/>
      </w:r>
      <w:r w:rsidR="005113B3">
        <w:t>.</w:t>
      </w:r>
      <w:r w:rsidR="00ED4379" w:rsidRPr="00697A2F">
        <w:t xml:space="preserve"> </w:t>
      </w:r>
      <w:r w:rsidR="005113B3">
        <w:t xml:space="preserve">De beroepstermijn </w:t>
      </w:r>
      <w:r w:rsidR="00E46B65" w:rsidRPr="00697A2F">
        <w:t xml:space="preserve">start </w:t>
      </w:r>
      <w:r w:rsidR="005113B3">
        <w:t xml:space="preserve">in dit geval </w:t>
      </w:r>
      <w:r w:rsidR="00E46B65" w:rsidRPr="00697A2F">
        <w:t>de dag</w:t>
      </w:r>
      <w:r w:rsidR="00A1494C" w:rsidRPr="00697A2F">
        <w:t xml:space="preserve"> </w:t>
      </w:r>
      <w:r w:rsidR="00E46B65" w:rsidRPr="00697A2F">
        <w:t>na de bekendmaking</w:t>
      </w:r>
      <w:r w:rsidR="00613E89" w:rsidRPr="00697A2F">
        <w:t xml:space="preserve"> van de instructie</w:t>
      </w:r>
      <w:r w:rsidR="00E46B65" w:rsidRPr="00697A2F">
        <w:t xml:space="preserve">. </w:t>
      </w:r>
      <w:r w:rsidR="00D45697" w:rsidRPr="00697A2F">
        <w:t xml:space="preserve">Voorbeelden van dit type instructie zijn de </w:t>
      </w:r>
      <w:r w:rsidR="009F7513" w:rsidRPr="00697A2F">
        <w:t xml:space="preserve">instructie over het in een omgevingsverordening stellen van </w:t>
      </w:r>
      <w:r w:rsidR="00C87C3C" w:rsidRPr="00697A2F">
        <w:t>instructie</w:t>
      </w:r>
      <w:r w:rsidR="009F7513" w:rsidRPr="00697A2F">
        <w:t xml:space="preserve">regels </w:t>
      </w:r>
      <w:r w:rsidR="00C87C3C" w:rsidRPr="00697A2F">
        <w:t xml:space="preserve">en de instructie </w:t>
      </w:r>
      <w:r w:rsidR="00596473" w:rsidRPr="00697A2F">
        <w:t xml:space="preserve">over de uitoefening van een taak op het gebied van het </w:t>
      </w:r>
      <w:r w:rsidR="00596473" w:rsidRPr="00697A2F">
        <w:lastRenderedPageBreak/>
        <w:t>beheer van watersystemen. T</w:t>
      </w:r>
      <w:r w:rsidR="00927E2C" w:rsidRPr="00697A2F">
        <w:t xml:space="preserve">egen iedere instructie </w:t>
      </w:r>
      <w:r w:rsidR="00596473" w:rsidRPr="00697A2F">
        <w:t xml:space="preserve">kan dus </w:t>
      </w:r>
      <w:r w:rsidR="00927E2C" w:rsidRPr="00697A2F">
        <w:t xml:space="preserve">beroep kan worden ingesteld; alleen het </w:t>
      </w:r>
      <w:r w:rsidR="00543A2C" w:rsidRPr="00697A2F">
        <w:t xml:space="preserve">moment </w:t>
      </w:r>
      <w:r w:rsidR="00927E2C" w:rsidRPr="00697A2F">
        <w:t xml:space="preserve">waarop </w:t>
      </w:r>
      <w:r w:rsidR="00543A2C" w:rsidRPr="00697A2F">
        <w:t xml:space="preserve">dat kan </w:t>
      </w:r>
      <w:r w:rsidR="00927E2C" w:rsidRPr="00697A2F">
        <w:t>is verschillend.</w:t>
      </w:r>
    </w:p>
    <w:p w14:paraId="204A99B0" w14:textId="2BE919EC" w:rsidR="0096341A" w:rsidRDefault="006A75D2" w:rsidP="006A75D2">
      <w:r>
        <w:t xml:space="preserve"> Een </w:t>
      </w:r>
      <w:r w:rsidR="00F5290F">
        <w:t>instructie</w:t>
      </w:r>
      <w:r>
        <w:t xml:space="preserve"> treedt </w:t>
      </w:r>
      <w:r w:rsidRPr="00AF6E05">
        <w:t xml:space="preserve">in werking </w:t>
      </w:r>
      <w:r>
        <w:t>op d</w:t>
      </w:r>
      <w:r w:rsidRPr="00AF6E05">
        <w:t>e datum van bekendmaking, tenzij in het besluit daarvoor een ander tijdstip is aangewezen.</w:t>
      </w:r>
    </w:p>
    <w:p w14:paraId="75954195" w14:textId="68F6B79F" w:rsidR="00D86006" w:rsidRDefault="00D86006" w:rsidP="006A75D2"/>
    <w:p w14:paraId="74F374E3" w14:textId="79BAB2AC" w:rsidR="00BA3B5D" w:rsidRDefault="00D86006" w:rsidP="00D86006">
      <w:r>
        <w:t xml:space="preserve">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413"/>
      </w:r>
      <w:r w:rsidRPr="006B0115">
        <w:t>.</w:t>
      </w:r>
      <w:r w:rsidR="00601064">
        <w:t xml:space="preserve"> </w:t>
      </w:r>
      <w:r w:rsidR="00601064" w:rsidRPr="00601064">
        <w:t>Deze bepaling houdt in dat deze zogeheten rechtsmiddelenclausule in het besluit moet worden opgenomen.</w:t>
      </w:r>
    </w:p>
    <w:p w14:paraId="0F66B36C" w14:textId="77777777" w:rsidR="00BA3B5D" w:rsidRDefault="00BA3B5D" w:rsidP="00D86006"/>
    <w:p w14:paraId="5BD51D86" w14:textId="4E5A2D97" w:rsidR="00D47DAF" w:rsidRDefault="00D86006" w:rsidP="00D86006">
      <w:r w:rsidRPr="00A60AA7">
        <w:rPr>
          <w:highlight w:val="yellow"/>
        </w:rPr>
        <w:t xml:space="preserve">Gelijktijdig met de bekendmaking van het besluit moet in het </w:t>
      </w:r>
      <w:r w:rsidR="006B04F9">
        <w:rPr>
          <w:highlight w:val="yellow"/>
        </w:rPr>
        <w:t xml:space="preserve">provinciaal </w:t>
      </w:r>
      <w:r w:rsidRPr="00A60AA7">
        <w:rPr>
          <w:highlight w:val="yellow"/>
        </w:rPr>
        <w:t xml:space="preserve">blad </w:t>
      </w:r>
      <w:r w:rsidR="006B04F9">
        <w:rPr>
          <w:highlight w:val="yellow"/>
        </w:rPr>
        <w:t xml:space="preserve">respectievelijk de Staatscourant </w:t>
      </w:r>
      <w:r w:rsidRPr="00A60AA7">
        <w:rPr>
          <w:highlight w:val="yellow"/>
        </w:rPr>
        <w:t>worden kennisgegeven van de terinzagelegging van de op de zaak betrekking hebbende stukken; de stukken liggen ter inzage totdat de beroepstermijn is verstreken</w:t>
      </w:r>
      <w:r w:rsidRPr="00A60AA7">
        <w:rPr>
          <w:rStyle w:val="Voetnootmarkering"/>
          <w:highlight w:val="yellow"/>
        </w:rPr>
        <w:footnoteReference w:id="414"/>
      </w:r>
      <w:r w:rsidRPr="00A60AA7">
        <w:rPr>
          <w:highlight w:val="yellow"/>
        </w:rPr>
        <w:t>. Een exemplaar van het besluit moet worden toegezonden aan degenen die over het ontwerp van het besluit zienswijzen naar voren hebben gebracht</w:t>
      </w:r>
      <w:r w:rsidRPr="00A60AA7">
        <w:rPr>
          <w:rStyle w:val="Voetnootmarkering"/>
          <w:highlight w:val="yellow"/>
        </w:rPr>
        <w:footnoteReference w:id="415"/>
      </w:r>
      <w:r w:rsidRPr="00A60AA7">
        <w:rPr>
          <w:highlight w:val="yellow"/>
        </w:rPr>
        <w:t>.</w:t>
      </w:r>
    </w:p>
    <w:p w14:paraId="6DFF9149" w14:textId="00759B1B" w:rsidR="00D47DAF" w:rsidRDefault="00D47DAF" w:rsidP="00D86006"/>
    <w:p w14:paraId="1A37E1C3" w14:textId="4EDA19BB" w:rsidR="00D20BC4" w:rsidRPr="00110792" w:rsidRDefault="00D20BC4" w:rsidP="00D20BC4">
      <w:pPr>
        <w:rPr>
          <w:highlight w:val="yellow"/>
        </w:rPr>
      </w:pPr>
      <w:r w:rsidRPr="00110792">
        <w:rPr>
          <w:highlight w:val="yellow"/>
        </w:rPr>
        <w:t xml:space="preserve">Tegen </w:t>
      </w:r>
      <w:r w:rsidR="00340D1C">
        <w:rPr>
          <w:highlight w:val="yellow"/>
        </w:rPr>
        <w:t xml:space="preserve">de instructie (of de wijziging daarvan) </w:t>
      </w:r>
      <w:r w:rsidRPr="00110792">
        <w:rPr>
          <w:highlight w:val="yellow"/>
        </w:rPr>
        <w:t>kan een belanghebbende beroep instellen</w:t>
      </w:r>
      <w:r w:rsidRPr="00110792">
        <w:rPr>
          <w:rStyle w:val="Voetnootmarkering"/>
          <w:highlight w:val="yellow"/>
        </w:rPr>
        <w:footnoteReference w:id="416"/>
      </w:r>
      <w:r w:rsidR="00A654E7">
        <w:rPr>
          <w:highlight w:val="yellow"/>
        </w:rPr>
        <w:t xml:space="preserve">, over het algemeen </w:t>
      </w:r>
      <w:r w:rsidR="00A654E7" w:rsidRPr="00A654E7">
        <w:t>bij de Afdeling bestuursrechtspraak van de Raad van State</w:t>
      </w:r>
      <w:r w:rsidRPr="00110792">
        <w:rPr>
          <w:highlight w:val="yellow"/>
        </w:rPr>
        <w:t xml:space="preserve">. </w:t>
      </w:r>
      <w:r w:rsidR="00AC2617">
        <w:t>Z</w:t>
      </w:r>
      <w:r w:rsidR="00AC2617" w:rsidRPr="00AC2617">
        <w:t xml:space="preserve">ie hiervoor verder paragraaf </w:t>
      </w:r>
      <w:r w:rsidR="000B74A5">
        <w:fldChar w:fldCharType="begin"/>
      </w:r>
      <w:r w:rsidR="000B74A5">
        <w:instrText xml:space="preserve"> REF _Ref_3f7b076541762ed80f90191f0cdcd4b3_1 \n \h </w:instrText>
      </w:r>
      <w:r w:rsidR="000B74A5">
        <w:fldChar w:fldCharType="separate"/>
      </w:r>
      <w:r w:rsidR="00A92D2F">
        <w:t>12.7.5</w:t>
      </w:r>
      <w:r w:rsidR="000B74A5">
        <w:fldChar w:fldCharType="end"/>
      </w:r>
      <w:r w:rsidR="00AC2617" w:rsidRPr="00AC2617">
        <w:t>.</w:t>
      </w:r>
    </w:p>
    <w:p w14:paraId="03413B26" w14:textId="28943439" w:rsidR="0096341A" w:rsidRPr="00110792" w:rsidRDefault="00D20BC4" w:rsidP="00D20BC4">
      <w:pPr>
        <w:rPr>
          <w:highlight w:val="yellow"/>
        </w:rPr>
      </w:pPr>
      <w:r w:rsidRPr="00110792">
        <w:rPr>
          <w:highlight w:val="yellow"/>
        </w:rPr>
        <w:t>De termijn voor het indienen van een beroepschrift bedraagt zes weken</w:t>
      </w:r>
      <w:r w:rsidRPr="00110792">
        <w:rPr>
          <w:rStyle w:val="Voetnootmarkering"/>
          <w:highlight w:val="yellow"/>
        </w:rPr>
        <w:footnoteReference w:id="417"/>
      </w:r>
      <w:r w:rsidRPr="00110792">
        <w:rPr>
          <w:highlight w:val="yellow"/>
        </w:rPr>
        <w:t xml:space="preserve">. De termijn </w:t>
      </w:r>
      <w:r w:rsidR="00144272">
        <w:rPr>
          <w:highlight w:val="yellow"/>
        </w:rPr>
        <w:t>begint op</w:t>
      </w:r>
      <w:r w:rsidRPr="00110792">
        <w:rPr>
          <w:highlight w:val="yellow"/>
        </w:rPr>
        <w:t xml:space="preserve"> de dag na die waarop het besluit is bekendgemaakt</w:t>
      </w:r>
      <w:r w:rsidRPr="00110792">
        <w:rPr>
          <w:rStyle w:val="Voetnootmarkering"/>
          <w:highlight w:val="yellow"/>
        </w:rPr>
        <w:footnoteReference w:id="418"/>
      </w:r>
      <w:r w:rsidRPr="00110792">
        <w:rPr>
          <w:highlight w:val="yellow"/>
        </w:rPr>
        <w:t>.</w:t>
      </w:r>
    </w:p>
    <w:p w14:paraId="3ACBF868" w14:textId="7886C54B" w:rsidR="00D47DAF" w:rsidRDefault="00D47DAF" w:rsidP="00D86006"/>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