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38B43494" w:rsidR="004432A7" w:rsidRDefault="002E0577" w:rsidP="00E33EDD">
      <w:r w:rsidRPr="00A22075">
        <w:t xml:space="preserve">Dit document is in drie delen verdeeld. Deel </w:t>
      </w:r>
      <w:r w:rsidRPr="00557092">
        <w:rPr>
          <w:rStyle w:val="Verwijzing"/>
        </w:rPr>
        <w:fldChar w:fldCharType="begin"/>
      </w:r>
      <w:r w:rsidRPr="00557092">
        <w:rPr>
          <w:rStyle w:val="Verwijzing"/>
        </w:rPr>
        <w:instrText xml:space="preserve"> REF _Ref_70b07588f5bcccc211add9f1c3903d72_1 \n \h  \* MERGEFORMAT </w:instrText>
      </w:r>
      <w:r w:rsidRPr="00557092">
        <w:rPr>
          <w:rStyle w:val="Verwijzing"/>
        </w:rPr>
      </w:r>
      <w:r w:rsidRPr="00557092">
        <w:rPr>
          <w:rStyle w:val="Verwijzing"/>
        </w:rPr>
        <w:fldChar w:fldCharType="separate"/>
      </w:r>
      <w:r w:rsidR="005F4F74">
        <w:rPr>
          <w:rStyle w:val="Verwijzing"/>
        </w:rPr>
        <w:t>A</w:t>
      </w:r>
      <w:r w:rsidRPr="00557092">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de juridische, inhoudelijke en p</w:t>
      </w:r>
      <w:r w:rsidRPr="00A22075">
        <w:t xml:space="preserve">rocedurele aspecten van </w:t>
      </w:r>
      <w:r w:rsidRPr="00A22075">
        <w:fldChar w:fldCharType="begin"/>
      </w:r>
      <w:r w:rsidRPr="00A22075">
        <w:instrText>DOCVARIABLE ID01+</w:instrText>
      </w:r>
      <w:r w:rsidRPr="00A22075">
        <w:fldChar w:fldCharType="separate"/>
      </w:r>
      <w:r w:rsidR="005F4F74">
        <w:t>de reactieve interventie</w:t>
      </w:r>
      <w:r w:rsidRPr="00A22075">
        <w:fldChar w:fldCharType="end"/>
      </w:r>
      <w:r>
        <w:t xml:space="preserve"> en tot slot de uitgangspunten </w:t>
      </w:r>
      <w:r w:rsidRPr="00E2300A">
        <w:t xml:space="preserve">die de bouwstenen </w:t>
      </w:r>
      <w:r>
        <w:t xml:space="preserve">vormden voor de ontwikkeling van de toepassingsprofielen. </w:t>
      </w:r>
      <w:r w:rsidRPr="00A22075">
        <w:t xml:space="preserve">Deel </w:t>
      </w:r>
      <w:r w:rsidRPr="00557092">
        <w:rPr>
          <w:rStyle w:val="Verwijzing"/>
        </w:rPr>
        <w:fldChar w:fldCharType="begin"/>
      </w:r>
      <w:r w:rsidRPr="00557092">
        <w:rPr>
          <w:rStyle w:val="Verwijzing"/>
        </w:rPr>
        <w:instrText xml:space="preserve"> REF _Ref_44a3e0441dd34c61c478024bde65ee3b_1 \n \h  \* MERGEFORMAT </w:instrText>
      </w:r>
      <w:r w:rsidRPr="00557092">
        <w:rPr>
          <w:rStyle w:val="Verwijzing"/>
        </w:rPr>
      </w:r>
      <w:r w:rsidRPr="00557092">
        <w:rPr>
          <w:rStyle w:val="Verwijzing"/>
        </w:rPr>
        <w:fldChar w:fldCharType="separate"/>
      </w:r>
      <w:r w:rsidR="005F4F74">
        <w:rPr>
          <w:rStyle w:val="Verwijzing"/>
        </w:rPr>
        <w:t>B</w:t>
      </w:r>
      <w:r w:rsidRPr="00557092">
        <w:rPr>
          <w:rStyle w:val="Verwijzing"/>
        </w:rPr>
        <w:fldChar w:fldCharType="end"/>
      </w:r>
      <w:r w:rsidRPr="00B26823">
        <w:t xml:space="preserve"> is volledig gewijd aan de modellering van </w:t>
      </w:r>
      <w:r w:rsidRPr="00A22075">
        <w:fldChar w:fldCharType="begin"/>
      </w:r>
      <w:r w:rsidRPr="00A22075">
        <w:instrText>DOCVARIABLE ID01+</w:instrText>
      </w:r>
      <w:r w:rsidRPr="00A22075">
        <w:fldChar w:fldCharType="separate"/>
      </w:r>
      <w:r w:rsidR="005F4F74">
        <w:t>de reactieve interventie</w:t>
      </w:r>
      <w:r w:rsidRPr="00A22075">
        <w:fldChar w:fldCharType="end"/>
      </w:r>
      <w:r w:rsidRPr="00B26823">
        <w:t>.</w:t>
      </w:r>
      <w:r>
        <w:t xml:space="preserve"> Beschreven worden de vormgeving van Besluit en Regeling, de toepassing van de STOP-tekststructuren, het annoteren met OW-objecten en enkele andere aspecten. </w:t>
      </w:r>
      <w:r w:rsidRPr="00A22075">
        <w:t xml:space="preserve">In deel </w:t>
      </w:r>
      <w:r w:rsidRPr="00557092">
        <w:rPr>
          <w:rStyle w:val="Verwijzing"/>
        </w:rPr>
        <w:fldChar w:fldCharType="begin"/>
      </w:r>
      <w:r w:rsidRPr="00557092">
        <w:rPr>
          <w:rStyle w:val="Verwijzing"/>
        </w:rPr>
        <w:instrText xml:space="preserve"> REF _Ref_4ab6a2348dd2ff92fb6d1949bbff1310_1 \n \h  \* MERGEFORMAT </w:instrText>
      </w:r>
      <w:r w:rsidRPr="00557092">
        <w:rPr>
          <w:rStyle w:val="Verwijzing"/>
        </w:rPr>
      </w:r>
      <w:r w:rsidRPr="00557092">
        <w:rPr>
          <w:rStyle w:val="Verwijzing"/>
        </w:rPr>
        <w:fldChar w:fldCharType="separate"/>
      </w:r>
      <w:r w:rsidR="005F4F74">
        <w:rPr>
          <w:rStyle w:val="Verwijzing"/>
        </w:rPr>
        <w:t>C</w:t>
      </w:r>
      <w:r w:rsidRPr="00557092">
        <w:rPr>
          <w:rStyle w:val="Verwijzing"/>
        </w:rPr>
        <w:fldChar w:fldCharType="end"/>
      </w:r>
      <w:r w:rsidRPr="00B26823">
        <w:t xml:space="preserve"> </w:t>
      </w:r>
      <w:r>
        <w:t xml:space="preserve">tenslotte </w:t>
      </w:r>
      <w:r w:rsidRPr="00B26823">
        <w:t>kom</w:t>
      </w:r>
      <w:r w:rsidRPr="00A22075">
        <w:t>t een aantal aanleveringsaspecten aan de orde: de identificatie van omgevingsdocumenten met Doel; het aangeven van de procedurestatus van een besluit tot vaststelling of wijziging van omgevingsdocumenten en de doorwerking daarvan in de geconsolideerde Regeling</w:t>
      </w:r>
      <w:r>
        <w:t>, de kennisgeving</w:t>
      </w:r>
      <w:r w:rsidRPr="00A22075">
        <w:t xml:space="preserve"> en tot slot het muteren van </w:t>
      </w:r>
      <w:r>
        <w:t>OW-object</w:t>
      </w:r>
      <w:r w:rsidRPr="00A22075">
        <w:t>en.</w:t>
      </w:r>
    </w:p>
    <w:p w14:paraId="5EDBB094" w14:textId="112A42DE" w:rsidR="006A4A02" w:rsidRPr="00A22075" w:rsidRDefault="00000000" w:rsidP="00E33EDD"/>
    <w:p w14:paraId="1902C7C8" w14:textId="77777777" w:rsidR="00E33EDD" w:rsidRPr="00A22075" w:rsidRDefault="00E33EDD" w:rsidP="00E33EDD"/>
    <w:p w14:paraId="70B79A47" w14:textId="344CCCA3"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5F4F74">
        <w:t>de reactieve interventie</w:t>
      </w:r>
      <w:r w:rsidRPr="00A22075">
        <w:fldChar w:fldCharType="end"/>
      </w:r>
      <w:r w:rsidRPr="00B26823">
        <w:t xml:space="preserve">. Voorbeelden daarvan zijn het </w:t>
      </w:r>
      <w:r w:rsidR="002E0577">
        <w:t xml:space="preserve">model voor Besluit en Regeling dat op </w:t>
      </w:r>
      <w:r w:rsidRPr="00A22075">
        <w:fldChar w:fldCharType="begin"/>
      </w:r>
      <w:r w:rsidRPr="00A22075">
        <w:instrText>DOCVARIABLE ID01+</w:instrText>
      </w:r>
      <w:r w:rsidRPr="00A22075">
        <w:fldChar w:fldCharType="separate"/>
      </w:r>
      <w:r w:rsidR="005F4F74">
        <w:t>de reactieve interventie</w:t>
      </w:r>
      <w:r w:rsidRPr="00A22075">
        <w:fldChar w:fldCharType="end"/>
      </w:r>
      <w:r w:rsidRPr="00B26823">
        <w:t xml:space="preserve"> </w:t>
      </w:r>
      <w:r w:rsidR="002E0577">
        <w:t xml:space="preserve">en een besluit tot vaststelling of wijziging daarvan </w:t>
      </w:r>
      <w:r w:rsidRPr="00B26823">
        <w:t xml:space="preserve">moet </w:t>
      </w:r>
      <w:r w:rsidR="002E0577">
        <w:t>worden toegepast</w:t>
      </w:r>
      <w:r w:rsidRPr="00B26823">
        <w:t xml:space="preserve">, de </w:t>
      </w:r>
      <w:r w:rsidR="002E0577"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2E0577"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5F4F74">
        <w:t>de reactieve interventie</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5F4F74">
        <w:t>reactieve interventie</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