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8C72" w14:textId="182685E5" w:rsidR="001C302F" w:rsidRPr="00F62F31" w:rsidRDefault="00D10EEE" w:rsidP="001C302F">
      <w:pPr>
        <w:pStyle w:val="Kop4"/>
      </w:pPr>
      <w:r>
        <w:t>M</w:t>
      </w:r>
      <w:r w:rsidR="001C302F" w:rsidRPr="00EA6ACD">
        <w:t>eervoudig bronhouderschap</w:t>
      </w:r>
    </w:p>
    <w:p w14:paraId="646FD25F" w14:textId="77777777" w:rsidR="001C302F" w:rsidRDefault="001C302F" w:rsidP="001C302F">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0E66200" w14:textId="77777777" w:rsidR="001C302F" w:rsidRDefault="001C302F" w:rsidP="001C302F">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4"/>
      </w:r>
      <w:r>
        <w:t>;</w:t>
      </w:r>
    </w:p>
    <w:p w14:paraId="114A6B86" w14:textId="77777777" w:rsidR="001C302F" w:rsidRDefault="001C302F" w:rsidP="001C302F">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5"/>
      </w:r>
      <w:r>
        <w:t>;</w:t>
      </w:r>
    </w:p>
    <w:p w14:paraId="6F0BBF21" w14:textId="77777777" w:rsidR="001C302F" w:rsidRDefault="001C302F" w:rsidP="001C302F">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6"/>
      </w:r>
      <w:r w:rsidRPr="003F0952">
        <w:t>.</w:t>
      </w:r>
    </w:p>
    <w:p w14:paraId="30B051D2" w14:textId="77777777" w:rsidR="001C302F" w:rsidRDefault="001C302F" w:rsidP="001C302F">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773FB070" w14:textId="77777777" w:rsidR="001C302F" w:rsidRDefault="001C302F" w:rsidP="001C302F"/>
    <w:p w14:paraId="6160C002" w14:textId="14E22967" w:rsidR="001C302F" w:rsidRDefault="00A777B7" w:rsidP="00C80EFA">
      <w:r w:rsidRPr="00A777B7">
        <w:t xml:space="preserve">De wetgever heeft reactieve interventie, voorbereidingsbesluit en projectbesluit </w:t>
      </w:r>
      <w:r w:rsidR="007E001B">
        <w:t xml:space="preserve">dus </w:t>
      </w:r>
      <w:r w:rsidRPr="00A777B7">
        <w:t xml:space="preserve">zo bedoeld dat het bestuursorgaan dat </w:t>
      </w:r>
      <w:r>
        <w:t xml:space="preserve">met </w:t>
      </w:r>
      <w:r w:rsidRPr="00A777B7">
        <w:t>een van die instrumenten</w:t>
      </w:r>
      <w:r>
        <w:t xml:space="preserve"> </w:t>
      </w:r>
      <w:r w:rsidR="009D6531">
        <w:t xml:space="preserve">het omgevingsplan wijzigt, </w:t>
      </w:r>
      <w:r w:rsidR="007D30CF">
        <w:t xml:space="preserve">die wijziging zelf moet verwerken </w:t>
      </w:r>
      <w:r w:rsidR="007D30CF" w:rsidRPr="00033FB6">
        <w:t>in het omgevingsplan</w:t>
      </w:r>
      <w:r w:rsidR="007D30CF">
        <w:t xml:space="preserve">, </w:t>
      </w:r>
      <w:r w:rsidR="00670AAF" w:rsidRPr="00670AAF">
        <w:t>een instrument van een ander type en van een ander bevoegd gezag van een andere bestuurslaag</w:t>
      </w:r>
      <w:r w:rsidR="007D30CF" w:rsidRPr="00033FB6">
        <w:t>.</w:t>
      </w:r>
      <w:r w:rsidR="001C302F">
        <w:t xml:space="preserve"> </w:t>
      </w:r>
      <w:r w:rsidR="001C302F" w:rsidRPr="00B847F9">
        <w:t xml:space="preserve">Technisch uitgedrukt zijn er in </w:t>
      </w:r>
      <w:r w:rsidR="001C302F">
        <w:t>da</w:t>
      </w:r>
      <w:r w:rsidR="001C302F" w:rsidRPr="00B847F9">
        <w:t xml:space="preserve">t geval meerdere bronhouders die eenzelfde omgevingsdocument kunnen wijzigen. Dit wordt meervoudig bronhouderschap genoemd. In grote lijnen zou de technische uitwerking van het beoogde meervoudig bronhouderschap er op neerkomen dat het bestuursorgaan dat het </w:t>
      </w:r>
      <w:r w:rsidR="001C302F">
        <w:t xml:space="preserve">andere </w:t>
      </w:r>
      <w:r w:rsidR="001C302F" w:rsidRPr="00B847F9">
        <w:t>besluit</w:t>
      </w:r>
      <w:r w:rsidR="001C302F">
        <w:t>type</w:t>
      </w:r>
      <w:r w:rsidR="001C302F" w:rsidRPr="00B847F9">
        <w:t xml:space="preserve"> heeft genomen, tegelijk met het ter bekendmaking aan de LVBB aanleveren van </w:t>
      </w:r>
      <w:r w:rsidR="001C302F">
        <w:t xml:space="preserve">dat </w:t>
      </w:r>
      <w:r w:rsidR="001C302F" w:rsidRPr="00F17D8A">
        <w:t xml:space="preserve">besluit </w:t>
      </w:r>
      <w:r w:rsidR="001C302F" w:rsidRPr="00B847F9">
        <w:t xml:space="preserve">ook de wijzigingsinstructie voor het omgevingsplan moet aanleveren. De LVBB </w:t>
      </w:r>
      <w:r w:rsidR="001C302F">
        <w:t xml:space="preserve">zou </w:t>
      </w:r>
      <w:r w:rsidR="001C302F" w:rsidRPr="00B847F9">
        <w:t>daarmee een nieuwe versie van de geconsolideerde regeling van het omgevingsplan</w:t>
      </w:r>
      <w:r w:rsidR="001C302F">
        <w:t xml:space="preserve"> kunnen </w:t>
      </w:r>
      <w:r w:rsidR="001C302F" w:rsidRPr="008C417E">
        <w:t>genereren</w:t>
      </w:r>
      <w:r w:rsidR="001C302F" w:rsidRPr="00B847F9">
        <w:t xml:space="preserve">. De betreffende gemeente zou vervolgens de nieuwe geconsolideerde regeling bij de LVBB moeten ophalen en in </w:t>
      </w:r>
      <w:r w:rsidR="001C302F">
        <w:t>de e</w:t>
      </w:r>
      <w:r w:rsidR="001C302F" w:rsidRPr="00B847F9">
        <w:t>igen plans</w:t>
      </w:r>
      <w:r w:rsidR="001C302F">
        <w:t>oftware</w:t>
      </w:r>
      <w:r w:rsidR="001C302F" w:rsidRPr="00B847F9">
        <w:t xml:space="preserve"> in de eigen versie van het omgevingsplan importeren en verwerken.</w:t>
      </w:r>
    </w:p>
    <w:p w14:paraId="1C187BDC" w14:textId="2588C3D3" w:rsidR="00E66AFB" w:rsidRDefault="00E66AFB" w:rsidP="00C80EFA">
      <w:r w:rsidRPr="00E66AFB">
        <w:lastRenderedPageBreak/>
        <w:t>Gebleken is dat de door de wetgever beoogde vorm van meervoudig bronhouderschap juridisch én technisch heel complex is. Ten eerste omdat iedere wijziging niet alleen een wijziging van tekst is, maar ook van locaties, annotaties en geografische informatieobjecten (en daarmee ook gevolgen kan hebben voor de juridische en technische opzet van het omgevingsplan) en ook gevolgen kan hebben voor de toepasbare regels waarmee het omgevingsplan in het Omgevingsloket bevraagd kan worden. Ten tweede omdat niet eenduidig is hoe wijzigingen uitgevoerd moeten worden. Voor het omgevingsplan geldt namelijk een overgangsfase waarin gemeenten het omgevingsplan stapsgewijs kunnen opbouwen. In die periode bestaat het omgevingsplan uit het omgevingsplan van rechtswege (met name bestaande uit de geldende bestemmingsplannen c.a. die in Ruimtelijkeplannen.nl zijn gepubliceerd en dan via de overbruggingsfunctie in DSO-LV getoond worden), het omgevingsplan van Rijkswege (oftewel de bruidsschatregels) en het omgevingsplan dat de gemeente zelf aan het opbouwen is. Bovendien zal het omgevingsplan naar verwachting vaak gewijzigd worden, zowel door wijzigingsbesluiten (van gemeenteraad maar ook van 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is de vorm van tweerichtingsverkeer met de LVBB die nodig is voor de door de wetgever beoogde vorm van meervoudig bronhouderschap, niet haalbaar gebleken.</w:t>
      </w:r>
    </w:p>
    <w:p w14:paraId="2E1580FA" w14:textId="77777777" w:rsidR="00E66AFB" w:rsidRDefault="00E66AFB" w:rsidP="00C80EFA"/>
    <w:p w14:paraId="622E60AA" w14:textId="70D7F2C4" w:rsidR="00D20752" w:rsidRDefault="007D1131" w:rsidP="00C80EFA">
      <w:r>
        <w:t xml:space="preserve">Vanwege </w:t>
      </w:r>
      <w:r w:rsidR="008C757D">
        <w:t xml:space="preserve">de </w:t>
      </w:r>
      <w:r w:rsidR="00D20752" w:rsidRPr="00D20752">
        <w:t>complex</w:t>
      </w:r>
      <w:r w:rsidR="008C757D">
        <w:t>iteit van het meervoudig bronhouderschap</w:t>
      </w:r>
      <w:r w:rsidR="00D20752" w:rsidRPr="00D20752">
        <w:t xml:space="preserve"> is bij de reactieve interventie het proces gesplitst: de provincie geeft de reactieve interventie en de gemeente zorgt voor de technische verwerking van de reactieve interventie in de geconsolideerde regeling van het omgevingsplan. De provincie moet daarvoor in de reactieve interventie heel precies beschrijven welke onderdelen van het wijzigingsbesluit geen onderdeel uitmaken van het omgevingsplan en geeft de gemeente de opdracht om de reactieve interventie in het omgevingsplan te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