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0FB0" w14:textId="6B0E89D9" w:rsidR="002B22D2" w:rsidRDefault="00483982" w:rsidP="005175FD">
      <w:pPr>
        <w:pStyle w:val="Kop4"/>
      </w:pPr>
      <w:bookmarkStart w:id="35" w:name="_Ref_7576b939ac699a0d0475d32ac427c0fa_1"/>
      <w:r>
        <w:t>Inwerkingtreden en verwerken reactieve interventie: t</w:t>
      </w:r>
      <w:r w:rsidR="007E2D0E">
        <w:t>onen en n</w:t>
      </w:r>
      <w:r w:rsidR="006970BD">
        <w:t xml:space="preserve">iet meer tonen </w:t>
      </w:r>
      <w:r w:rsidR="006B568D">
        <w:t xml:space="preserve">tijdelijk </w:t>
      </w:r>
      <w:r w:rsidR="007E2D0E" w:rsidRPr="007E2D0E">
        <w:t>regeling</w:t>
      </w:r>
      <w:r w:rsidR="006B568D">
        <w:t>dee</w:t>
      </w:r>
      <w:r w:rsidR="007E2D0E">
        <w:t>l</w:t>
      </w:r>
      <w:bookmarkEnd w:id="35"/>
    </w:p>
    <w:p w14:paraId="09BD43BA" w14:textId="495FCA03" w:rsidR="00DD5E10" w:rsidRDefault="00DD5E10" w:rsidP="00DD5E10">
      <w:r>
        <w:t xml:space="preserve">De toepassing van </w:t>
      </w:r>
      <w:r w:rsidRPr="006904BA">
        <w:t xml:space="preserve">het concept tijdelijk regelingdeel </w:t>
      </w:r>
      <w:r>
        <w:t xml:space="preserve">op de </w:t>
      </w:r>
      <w:r w:rsidRPr="00B74BE3">
        <w:t>reactieve interventie</w:t>
      </w:r>
      <w:r>
        <w:t xml:space="preserve">, gerelateerd aan de procedure die bij de </w:t>
      </w:r>
      <w:r w:rsidRPr="00B74BE3">
        <w:t xml:space="preserve">reactieve interventie </w:t>
      </w:r>
      <w:r>
        <w:t xml:space="preserve">wordt doorlopen, is in </w:t>
      </w:r>
      <w:r w:rsidRPr="00557092">
        <w:rPr>
          <w:rStyle w:val="Verwijzing"/>
        </w:rPr>
        <w:fldChar w:fldCharType="begin"/>
      </w:r>
      <w:r w:rsidRPr="00557092">
        <w:rPr>
          <w:rStyle w:val="Verwijzing"/>
        </w:rPr>
        <w:instrText xml:space="preserve"> REF _Ref_4c1fd35e3324a9df48a66a43978c4894_3\n \h </w:instrText>
      </w:r>
      <w:r w:rsidRPr="00557092">
        <w:rPr>
          <w:rStyle w:val="Verwijzing"/>
        </w:rPr>
      </w:r>
      <w:r w:rsidRPr="00557092">
        <w:rPr>
          <w:rStyle w:val="Verwijzing"/>
        </w:rPr>
        <w:fldChar w:fldCharType="separate"/>
      </w:r>
      <w:r w:rsidR="005F4F74">
        <w:rPr>
          <w:rStyle w:val="Verwijzing"/>
        </w:rPr>
        <w:t>Figuur 4</w:t>
      </w:r>
      <w:r w:rsidRPr="00557092">
        <w:rPr>
          <w:rStyle w:val="Verwijzing"/>
        </w:rPr>
        <w:fldChar w:fldCharType="end"/>
      </w:r>
      <w:r>
        <w:t xml:space="preserve"> gevisualiseerd en daarna beschreven.</w:t>
      </w:r>
    </w:p>
    <w:p w14:paraId="3CDBE567" w14:textId="1EC2E170" w:rsidR="00DD5E10" w:rsidRPr="00CF2546" w:rsidRDefault="00671407" w:rsidP="00DD5E10">
      <w:pPr>
        <w:pStyle w:val="Figuur"/>
      </w:pPr>
      <w:r>
        <w:rPr>
          <w:noProof/>
        </w:rPr>
        <w:drawing>
          <wp:inline distT="0" distB="0" distL="0" distR="0" wp14:anchorId="354F3591" wp14:editId="7D7ADD78">
            <wp:extent cx="5400040" cy="4909820"/>
            <wp:effectExtent l="0" t="0" r="0" b="5080"/>
            <wp:docPr id="301414114" name="Afbeelding 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14114" name="Afbeelding 3" descr="Afbeelding met diagram&#10;&#10;Automatisch gegenereerde beschrijving"/>
                    <pic:cNvPicPr/>
                  </pic:nvPicPr>
                  <pic:blipFill>
                    <a:blip r:embed="rId24"/>
                    <a:stretch>
                      <a:fillRect/>
                    </a:stretch>
                  </pic:blipFill>
                  <pic:spPr>
                    <a:xfrm>
                      <a:off x="0" y="0"/>
                      <a:ext cx="5400040" cy="4909820"/>
                    </a:xfrm>
                    <a:prstGeom prst="rect">
                      <a:avLst/>
                    </a:prstGeom>
                  </pic:spPr>
                </pic:pic>
              </a:graphicData>
            </a:graphic>
          </wp:inline>
        </w:drawing>
      </w:r>
    </w:p>
    <w:p w14:paraId="5AFC680C" w14:textId="77777777" w:rsidR="00DD5E10" w:rsidRDefault="00DD5E10" w:rsidP="00DD5E10">
      <w:pPr>
        <w:pStyle w:val="Figuurbijschrift"/>
      </w:pPr>
      <w:r>
        <w:t>Reactieve interventie: toepassing tijdelijk deel van een regeling in relatie tot proces</w:t>
      </w:r>
    </w:p>
    <w:p w14:paraId="5ADC56F8" w14:textId="5AE3AD6B" w:rsidR="002B22D2" w:rsidRDefault="00DD5E10" w:rsidP="00DF73A3">
      <w:r>
        <w:t xml:space="preserve">Een bestuursorgaan van de gemeente neemt een besluit tot wijziging van het omgevingsplan. Dit wijzigingsbesluit wordt bekendgemaakt en geconsolideerd met de </w:t>
      </w:r>
      <w:r>
        <w:lastRenderedPageBreak/>
        <w:t xml:space="preserve">bestaande hoofdregeling. Het wijzigingsbesluit leidt dus tot een nieuwe versie van de hoofdregeling die op overheid.nl en in DSO-LV te raadplegen is. GS besluiten tot een </w:t>
      </w:r>
      <w:r w:rsidRPr="00B74BE3">
        <w:t>reactieve interventie</w:t>
      </w:r>
      <w:r>
        <w:t>, die zij aan de LVBB aanleveren. De reactieve interventie bevat</w:t>
      </w:r>
      <w:r w:rsidR="00E92CFE">
        <w:t xml:space="preserve"> onder andere</w:t>
      </w:r>
      <w:r>
        <w:t xml:space="preserve"> de</w:t>
      </w:r>
      <w:r w:rsidRPr="00F65F03">
        <w:t xml:space="preserve"> </w:t>
      </w:r>
      <w:r>
        <w:t>opdracht aan de gemeente om de reactieve interventie in het omgevingsplan te verwerken</w:t>
      </w:r>
      <w:r w:rsidR="00444D96">
        <w:t xml:space="preserve"> en</w:t>
      </w:r>
      <w:r>
        <w:t xml:space="preserve"> het tijdelijk regelingdeel met conditie</w:t>
      </w:r>
      <w:r w:rsidR="00444D96">
        <w:t>,</w:t>
      </w:r>
      <w:r>
        <w:t xml:space="preserve"> de regels van het omgevingsplan </w:t>
      </w:r>
      <w:r w:rsidRPr="001F7BB2">
        <w:t xml:space="preserve">zoals ze gelden na inwerkingtreden van de reactieve interventie </w:t>
      </w:r>
      <w:r>
        <w:t xml:space="preserve">en </w:t>
      </w:r>
      <w:r w:rsidR="00444D96">
        <w:t xml:space="preserve">de </w:t>
      </w:r>
      <w:r w:rsidR="002B5207">
        <w:t>GIO</w:t>
      </w:r>
      <w:r w:rsidR="00331877">
        <w:t>’s</w:t>
      </w:r>
      <w:r>
        <w:t xml:space="preserve">. De </w:t>
      </w:r>
      <w:r w:rsidRPr="00B74BE3">
        <w:t xml:space="preserve">reactieve interventie </w:t>
      </w:r>
      <w:r>
        <w:t xml:space="preserve">wordt bekendgemaakt. De reactieve interventie leidt niet tot een nieuwe versie van de hoofdregeling; de al aanwezige hoofdregeling in de regelingenbank op overheid.nl en in DSO-LV, die was ontstaan door het wijzigingsbesluit van de gemeente, blijft ongewijzigd bestaan. </w:t>
      </w:r>
      <w:r w:rsidR="00BE27FE">
        <w:t>D</w:t>
      </w:r>
      <w:r>
        <w:t xml:space="preserve">e reactieve interventie </w:t>
      </w:r>
      <w:r w:rsidR="00D02A85">
        <w:t xml:space="preserve">voegt </w:t>
      </w:r>
      <w:r w:rsidRPr="006F10CB">
        <w:t xml:space="preserve">een nieuw tijdelijk regelingdeel </w:t>
      </w:r>
      <w:r w:rsidR="00D02A85">
        <w:t>a</w:t>
      </w:r>
      <w:r w:rsidRPr="006F10CB">
        <w:t xml:space="preserve">an de geconsolideerde regeling van </w:t>
      </w:r>
      <w:r>
        <w:t xml:space="preserve">het </w:t>
      </w:r>
      <w:r w:rsidRPr="006F10CB">
        <w:t>omgevingsplan</w:t>
      </w:r>
      <w:r w:rsidR="00D02A85">
        <w:t xml:space="preserve"> toe</w:t>
      </w:r>
      <w:r>
        <w:t xml:space="preserve">. GS </w:t>
      </w:r>
      <w:r w:rsidRPr="00D15D0A">
        <w:t>zorg</w:t>
      </w:r>
      <w:r>
        <w:t>en</w:t>
      </w:r>
      <w:r w:rsidRPr="00D15D0A">
        <w:t xml:space="preserve"> </w:t>
      </w:r>
      <w:r>
        <w:t xml:space="preserve">er </w:t>
      </w:r>
      <w:r w:rsidRPr="00D15D0A">
        <w:t xml:space="preserve">dus </w:t>
      </w:r>
      <w:r>
        <w:t>voor</w:t>
      </w:r>
      <w:r w:rsidRPr="00D15D0A">
        <w:t xml:space="preserve"> dat er </w:t>
      </w:r>
      <w:r>
        <w:t xml:space="preserve">-heel tijdelijk- </w:t>
      </w:r>
      <w:r w:rsidRPr="00D15D0A">
        <w:t>een nieuw tijdelijk regelingdeel deel gaat uit maken van de geconsolideerde regeling van het omgevingsplan.</w:t>
      </w:r>
      <w:r>
        <w:t xml:space="preserve"> Om te voldoen aan de opdracht in de </w:t>
      </w:r>
      <w:r w:rsidRPr="00B74BE3">
        <w:t xml:space="preserve">reactieve interventie </w:t>
      </w:r>
      <w:r>
        <w:t xml:space="preserve">moet </w:t>
      </w:r>
      <w:r w:rsidRPr="005A1747">
        <w:t xml:space="preserve">de gemeente </w:t>
      </w:r>
      <w:r>
        <w:t xml:space="preserve">de </w:t>
      </w:r>
      <w:r w:rsidR="00CA6287">
        <w:t>informatie</w:t>
      </w:r>
      <w:r>
        <w:t xml:space="preserve"> </w:t>
      </w:r>
      <w:r w:rsidRPr="005A1747">
        <w:t>aan</w:t>
      </w:r>
      <w:r>
        <w:t>leveren die leid</w:t>
      </w:r>
      <w:r w:rsidR="00CA6287">
        <w:t>t</w:t>
      </w:r>
      <w:r>
        <w:t xml:space="preserve"> tot een nieuwe versie van de hoofdregeling waarin de </w:t>
      </w:r>
      <w:r w:rsidRPr="00B74BE3">
        <w:t xml:space="preserve">reactieve interventie </w:t>
      </w:r>
      <w:r>
        <w:t xml:space="preserve">van GS is verwerkt. </w:t>
      </w:r>
      <w:r w:rsidR="002655AF">
        <w:t xml:space="preserve">De gemeente moet </w:t>
      </w:r>
      <w:r w:rsidR="00EF5193">
        <w:t xml:space="preserve">tegelijkertijd </w:t>
      </w:r>
      <w:r w:rsidR="002655AF">
        <w:t xml:space="preserve">informatie </w:t>
      </w:r>
      <w:r w:rsidR="00EF5193">
        <w:t xml:space="preserve">aanleveren </w:t>
      </w:r>
      <w:r w:rsidR="00DF73A3">
        <w:t>waardoor het tijdelijk regelingdeel met de voorbeschermingsregels niet langer getoond wordt</w:t>
      </w:r>
      <w:r w:rsidR="00B32E4E">
        <w:t xml:space="preserve"> i</w:t>
      </w:r>
      <w:r w:rsidR="00B32E4E" w:rsidRPr="00B32E4E">
        <w:t>n de regelingenbank op overheid.nl en in DSO-LV</w:t>
      </w:r>
      <w:r w:rsidR="00DF73A3">
        <w:t xml:space="preserve">. Dat gebeurt door -in de </w:t>
      </w:r>
      <w:r w:rsidR="00DF73A3" w:rsidRPr="00730FDA">
        <w:t>CconsolidatieInformatie</w:t>
      </w:r>
      <w:r w:rsidR="00DF73A3">
        <w:t>-</w:t>
      </w:r>
      <w:r w:rsidR="00DF73A3" w:rsidRPr="00730FDA">
        <w:t xml:space="preserve"> </w:t>
      </w:r>
      <w:r w:rsidR="00DF73A3">
        <w:t xml:space="preserve">een Intrekking aan de LVBB aan te leveren: een setje gegevens dat zorgt voor de technische intrekking van het tijdelijk regelingdeel </w:t>
      </w:r>
      <w:r w:rsidR="00B32E4E">
        <w:t>van de reactieve interventie</w:t>
      </w:r>
      <w:r w:rsidR="00DF73A3">
        <w:t xml:space="preserve">. Dit is alleen een technische intrekking. In juridische zin is er geen sprake van intrekking van </w:t>
      </w:r>
      <w:fldSimple w:instr=" DOCVARIABLE ID01+ ">
        <w:r w:rsidR="005F4F74">
          <w:t>de reactieve interventie</w:t>
        </w:r>
      </w:fldSimple>
      <w:r w:rsidR="00DF73A3">
        <w:t xml:space="preserve">. Op officielebekendmakingen.nl is -ook na de intrekking van het tijdelijk regelingdeel- de bekendmaking van </w:t>
      </w:r>
      <w:fldSimple w:instr=" DOCVARIABLE ID01+ ">
        <w:r w:rsidR="005F4F74">
          <w:t>de reactieve interventie</w:t>
        </w:r>
      </w:fldSimple>
      <w:r w:rsidR="008C49B1">
        <w:t xml:space="preserve"> </w:t>
      </w:r>
      <w:r w:rsidR="00DF73A3">
        <w:t>nog steeds te vinden.</w:t>
      </w:r>
      <w:r w:rsidR="00161731">
        <w:t xml:space="preserve"> </w:t>
      </w:r>
      <w:r w:rsidR="00DF73A3">
        <w:t xml:space="preserve">Door de aanlevering van de Intrekking zorgt de LVBB er voor dat het tijdelijk regelingdeel </w:t>
      </w:r>
      <w:r w:rsidR="008C49B1">
        <w:t xml:space="preserve">van </w:t>
      </w:r>
      <w:fldSimple w:instr=" DOCVARIABLE ID01+ ">
        <w:r w:rsidR="005F4F74">
          <w:t>de reactieve interventie</w:t>
        </w:r>
      </w:fldSimple>
      <w:r w:rsidR="008C49B1">
        <w:t xml:space="preserve"> </w:t>
      </w:r>
      <w:r w:rsidR="00DF73A3">
        <w:t xml:space="preserve">in de lokale regelingenbank op overheid.nl niet meer als onderdeel van de geconsolideerde regeling van </w:t>
      </w:r>
      <w:r w:rsidR="008C49B1">
        <w:t xml:space="preserve">het </w:t>
      </w:r>
      <w:r w:rsidR="00DF73A3">
        <w:t>omgevingsplan getoond wordt. De LVBB geeft deze informatie door zodat ook DSO-LV het tijdelijk regelingdeel niet meer toont als onderdeel van de actuele geconsolideerde regeling. Via tijdreizen in DSO-LV is het tijdelijk regelingdeel nog steeds te vinden.</w:t>
      </w:r>
    </w:p>
    <w:p w14:paraId="782CA265" w14:textId="0C99D2A8" w:rsidR="00CE679F" w:rsidRDefault="00DF73A3" w:rsidP="005175FD">
      <w:r>
        <w:t xml:space="preserve">In paragraaf </w:t>
      </w:r>
      <w:r w:rsidR="002F7713">
        <w:rPr>
          <w:highlight w:val="yellow"/>
        </w:rPr>
        <w:fldChar w:fldCharType="begin"/>
      </w:r>
      <w:r w:rsidR="002F7713">
        <w:instrText xml:space="preserve"> REF _Ref_60e3d6b784e1fbe4aa40aca353b44044_1 \n \h </w:instrText>
      </w:r>
      <w:r w:rsidR="002F7713">
        <w:rPr>
          <w:highlight w:val="yellow"/>
        </w:rPr>
      </w:r>
      <w:r w:rsidR="002F7713">
        <w:rPr>
          <w:highlight w:val="yellow"/>
        </w:rPr>
        <w:fldChar w:fldCharType="separate"/>
      </w:r>
      <w:r w:rsidR="005F4F74">
        <w:t>9.2</w:t>
      </w:r>
      <w:r w:rsidR="002F7713">
        <w:rPr>
          <w:highlight w:val="yellow"/>
        </w:rPr>
        <w:fldChar w:fldCharType="end"/>
      </w:r>
      <w:r>
        <w:t xml:space="preserve"> is </w:t>
      </w:r>
      <w:r w:rsidR="00147D58">
        <w:t xml:space="preserve">– aan de hand van de procedure die de reactieve interventie doorloopt- </w:t>
      </w:r>
      <w:r w:rsidR="008512ED">
        <w:t>beschreven</w:t>
      </w:r>
      <w:r>
        <w:t xml:space="preserve"> </w:t>
      </w:r>
      <w:r w:rsidR="00E64BBE">
        <w:t xml:space="preserve">welke informatie de gemeente moet aanleveren voor het verwerken van </w:t>
      </w:r>
      <w:fldSimple w:instr=" DOCVARIABLE ID01+ ">
        <w:r w:rsidR="005F4F74">
          <w:t>de reactieve interventie</w:t>
        </w:r>
      </w:fldSimple>
      <w:r w:rsidR="00E64BBE">
        <w:t xml:space="preserve"> in </w:t>
      </w:r>
      <w:r w:rsidR="00703A0A">
        <w:t xml:space="preserve">de hoofdregeling van het omgevingsplan en voor het intrekken van </w:t>
      </w:r>
      <w:r>
        <w:t>het tijdelijk regelingdeel</w:t>
      </w:r>
      <w:r w:rsidR="00703A0A">
        <w:t xml:space="preserve"> en hoe de gemeente </w:t>
      </w:r>
      <w:r w:rsidR="0062308B">
        <w:t xml:space="preserve">die informatie </w:t>
      </w:r>
      <w:r w:rsidR="00703A0A">
        <w:t xml:space="preserve">moet </w:t>
      </w:r>
      <w:r w:rsidR="0062308B">
        <w:t>aanleveren</w:t>
      </w:r>
      <w:r w:rsidR="008512E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24" Type="http://schemas.openxmlformats.org/officeDocument/2006/relationships/image" Target="media/image_c1b6cac9ece49625eaec048673c8f0f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