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2E0577" w:rsidRPr="00F1426F">
        <w:t xml:space="preserve">het objecttype, te gebruiken in </w:t>
      </w:r>
      <w:r w:rsidR="002E0577">
        <w:t xml:space="preserve">het Lichaam van de Regeling </w:t>
      </w:r>
      <w:r w:rsidR="002E0577" w:rsidRPr="00F1426F">
        <w:t xml:space="preserve">van omgevingsdocumenten </w:t>
      </w:r>
      <w:r w:rsidR="002E0577">
        <w:t xml:space="preserve">met </w:t>
      </w:r>
      <w:r w:rsidR="002E0577" w:rsidRPr="00F1426F">
        <w:t xml:space="preserve">Artikelstructuur,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