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2E0577" w:rsidP="002F7B04">
      <w:pPr>
        <w:pStyle w:val="Kop4"/>
      </w:pPr>
      <w:r w:rsidRPr="00F1426F">
        <w:t>Toelichting op de norm</w:t>
      </w:r>
    </w:p>
    <w:p w14:paraId="1137F11C" w14:textId="3FACD9A5" w:rsidR="006F2E70" w:rsidRPr="00F1426F" w:rsidRDefault="008559F1" w:rsidP="001E034B">
      <w:r w:rsidRPr="00F1426F">
        <w:rPr>
          <w:i/>
        </w:rPr>
        <w:t>geometrie</w:t>
      </w:r>
      <w:r w:rsidRPr="00F1426F">
        <w:t xml:space="preserve">: dit attribuut bevat de coördinaten van de Geometrie. De geometrische typen die gebruikt worden binnen dit attribuut </w:t>
      </w:r>
      <w:r w:rsidR="002E0577" w:rsidRPr="00F1426F">
        <w:t xml:space="preserve">dienen </w:t>
      </w:r>
      <w:r w:rsidRPr="00F1426F">
        <w:t>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