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EC57E" w14:textId="462E9C47" w:rsidR="00E33EDD" w:rsidRPr="00D91C56" w:rsidRDefault="00E33EDD" w:rsidP="00E33EDD">
      <w:pPr>
        <w:pStyle w:val="Kop3"/>
      </w:pPr>
      <w:bookmarkStart w:id="228" w:name="_Ref_fc9735729ad76c3d191052ff742db894_1"/>
      <w:r w:rsidRPr="00D91C56">
        <w:t xml:space="preserve">Standaardindeling </w:t>
      </w:r>
      <w:r>
        <w:fldChar w:fldCharType="begin"/>
      </w:r>
      <w:r>
        <w:instrText>DOCVARIABLE ID01</w:instrText>
      </w:r>
      <w:r>
        <w:fldChar w:fldCharType="separate"/>
      </w:r>
      <w:r w:rsidR="005F4F74">
        <w:t>reactieve interventie</w:t>
      </w:r>
      <w:r>
        <w:fldChar w:fldCharType="end"/>
      </w:r>
      <w:bookmarkEnd w:id="228"/>
    </w:p>
    <w:p w14:paraId="2A0C4875" w14:textId="34388761" w:rsidR="00DF2EB8" w:rsidRDefault="00DF2EB8" w:rsidP="00E33EDD">
      <w:r>
        <w:t xml:space="preserve">De </w:t>
      </w:r>
      <w:r w:rsidR="008530F5" w:rsidRPr="008530F5">
        <w:t>reactieve interventie</w:t>
      </w:r>
      <w:r w:rsidR="008530F5">
        <w:rPr>
          <w:i/>
          <w:iCs/>
        </w:rPr>
        <w:t xml:space="preserve"> </w:t>
      </w:r>
      <w:r w:rsidRPr="00DF2EB8">
        <w:t xml:space="preserve">kent </w:t>
      </w:r>
      <w:r w:rsidR="00F17F2F" w:rsidRPr="00F17F2F">
        <w:t>ten behoeve van</w:t>
      </w:r>
      <w:r w:rsidRPr="00DF2EB8">
        <w:t xml:space="preserve"> een </w:t>
      </w:r>
      <w:r w:rsidR="00F17F2F" w:rsidRPr="00F17F2F">
        <w:t>goede werking enige voorschriften voor de indeling.</w:t>
      </w:r>
      <w:r w:rsidRPr="00DF2EB8">
        <w:t xml:space="preserve"> In de navolgende subparagrafen wordt dat toegelicht en wordt de norm geformuleerd die dit toepassingsprofiel op dit punt stelt.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