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E8356" w14:textId="7A7ADE87" w:rsidR="001C7A2F" w:rsidRDefault="001C7A2F" w:rsidP="001C7A2F">
      <w:pPr>
        <w:pStyle w:val="Kop4"/>
      </w:pPr>
      <w:r>
        <w:t>Voorbeeld</w:t>
      </w:r>
    </w:p>
    <w:p w14:paraId="4FE8B8FA" w14:textId="3CD72A7D" w:rsidR="00C25E17" w:rsidRDefault="00D6795B" w:rsidP="00C25E17">
      <w:r>
        <w:rPr>
          <w:rStyle w:val="Verwijzing"/>
        </w:rPr>
        <w:fldChar w:fldCharType="begin"/>
      </w:r>
      <w:r>
        <w:instrText xml:space="preserve"> REF _Ref_20d313326a596fb802f1307305643468_1 \n \h </w:instrText>
      </w:r>
      <w:r>
        <w:rPr>
          <w:rStyle w:val="Verwijzing"/>
        </w:rPr>
      </w:r>
      <w:r>
        <w:rPr>
          <w:rStyle w:val="Verwijzing"/>
        </w:rPr>
        <w:fldChar w:fldCharType="separate"/>
      </w:r>
      <w:r w:rsidR="005F4F74">
        <w:t>Figuur 38</w:t>
      </w:r>
      <w:r>
        <w:rPr>
          <w:rStyle w:val="Verwijzing"/>
        </w:rPr>
        <w:fldChar w:fldCharType="end"/>
      </w:r>
      <w:r>
        <w:rPr>
          <w:rStyle w:val="Verwijzing"/>
        </w:rPr>
        <w:t xml:space="preserve"> </w:t>
      </w:r>
      <w:r w:rsidR="00C25E17">
        <w:t xml:space="preserve">toont het Lichaam van het Besluit van de reactieve interventie, met voorbeeldteksten voor de globale omschrijving van de onderdelen van het wijzigingsbesluit die geen deel uitmaken van het omgevingsplan en de opdracht aan de gemeente tot verwerking. </w:t>
      </w:r>
      <w:r>
        <w:rPr>
          <w:rStyle w:val="Verwijzing"/>
        </w:rPr>
        <w:fldChar w:fldCharType="begin"/>
      </w:r>
      <w:r>
        <w:instrText xml:space="preserve"> REF _Ref_20d313326a596fb802f1307305643468_2 \n \h </w:instrText>
      </w:r>
      <w:r>
        <w:rPr>
          <w:rStyle w:val="Verwijzing"/>
        </w:rPr>
      </w:r>
      <w:r>
        <w:rPr>
          <w:rStyle w:val="Verwijzing"/>
        </w:rPr>
        <w:fldChar w:fldCharType="separate"/>
      </w:r>
      <w:r w:rsidR="005F4F74">
        <w:t>Figuur 39</w:t>
      </w:r>
      <w:r>
        <w:rPr>
          <w:rStyle w:val="Verwijzing"/>
        </w:rPr>
        <w:fldChar w:fldCharType="end"/>
      </w:r>
      <w:r w:rsidR="00C25E17">
        <w:t xml:space="preserve"> geeft een beeld van het tijdelijk regelingdeel </w:t>
      </w:r>
      <w:r w:rsidR="00C25E17" w:rsidRPr="000559AD">
        <w:t>van de reactieve interventie</w:t>
      </w:r>
      <w:r w:rsidR="00C25E17">
        <w:t xml:space="preserve">; te zien zijn de conditie en de regels van het omgevingsplan zoals ze luiden </w:t>
      </w:r>
      <w:r w:rsidR="006129A5">
        <w:t>als gevolg</w:t>
      </w:r>
      <w:r w:rsidR="00C25E17" w:rsidRPr="00313451">
        <w:t xml:space="preserve"> van de reactieve interventie</w:t>
      </w:r>
      <w:r w:rsidR="00C25E17">
        <w:t xml:space="preserve">. In het tijdelijk regelingdeel is te zien dat het instrument is opgezet in de </w:t>
      </w:r>
      <w:r w:rsidR="00C25E17" w:rsidRPr="008639C0">
        <w:t>Artikelstructuur</w:t>
      </w:r>
      <w:r w:rsidR="00C25E17">
        <w:t>.</w:t>
      </w:r>
    </w:p>
    <w:p w14:paraId="148A117B" w14:textId="77777777" w:rsidR="00C25E17" w:rsidRPr="00C25E17" w:rsidRDefault="00C25E17" w:rsidP="00D86824"/>
    <w:p w14:paraId="6953CA62" w14:textId="0DE8AB8D" w:rsidR="001C7A2F" w:rsidRDefault="00B93F5F" w:rsidP="00B93F5F">
      <w:pPr>
        <w:pStyle w:val="Figuur"/>
      </w:pPr>
      <w:r>
        <w:rPr>
          <w:noProof/>
        </w:rPr>
        <w:drawing>
          <wp:inline distT="0" distB="0" distL="0" distR="0" wp14:anchorId="3209FC9E" wp14:editId="62660CEF">
            <wp:extent cx="5400040" cy="3765550"/>
            <wp:effectExtent l="0" t="0" r="0" b="6350"/>
            <wp:docPr id="1277780739"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780739" name="Afbeelding 1277780739"/>
                    <pic:cNvPicPr/>
                  </pic:nvPicPr>
                  <pic:blipFill>
                    <a:blip r:embed="rId67"/>
                    <a:stretch>
                      <a:fillRect/>
                    </a:stretch>
                  </pic:blipFill>
                  <pic:spPr>
                    <a:xfrm>
                      <a:off x="0" y="0"/>
                      <a:ext cx="5400040" cy="3765550"/>
                    </a:xfrm>
                    <a:prstGeom prst="rect">
                      <a:avLst/>
                    </a:prstGeom>
                  </pic:spPr>
                </pic:pic>
              </a:graphicData>
            </a:graphic>
          </wp:inline>
        </w:drawing>
      </w:r>
    </w:p>
    <w:p w14:paraId="5DDB39E3" w14:textId="3EA06888" w:rsidR="00B93F5F" w:rsidRDefault="00B93F5F" w:rsidP="00B93F5F">
      <w:pPr>
        <w:pStyle w:val="Figuurbijschrift"/>
      </w:pPr>
      <w:bookmarkStart w:id="233" w:name="_Ref_20d313326a596fb802f1307305643468_1"/>
      <w:r w:rsidRPr="00B93F5F">
        <w:t>Besluit-deel van de reactieve interventie</w:t>
      </w:r>
      <w:r w:rsidR="006D786D">
        <w:t xml:space="preserve"> </w:t>
      </w:r>
      <w:r w:rsidR="006D786D" w:rsidRPr="006D786D">
        <w:t>met voorbeeldteksten</w:t>
      </w:r>
      <w:bookmarkEnd w:id="233"/>
    </w:p>
    <w:p w14:paraId="649C0033" w14:textId="751FDC6B" w:rsidR="00B93F5F" w:rsidRDefault="00B93F5F" w:rsidP="00B93F5F">
      <w:pPr>
        <w:pStyle w:val="Figuur"/>
      </w:pPr>
      <w:r>
        <w:rPr>
          <w:noProof/>
        </w:rPr>
        <w:lastRenderedPageBreak/>
        <w:drawing>
          <wp:inline distT="0" distB="0" distL="0" distR="0" wp14:anchorId="6257DBE6" wp14:editId="1B82F068">
            <wp:extent cx="5400040" cy="3286760"/>
            <wp:effectExtent l="0" t="0" r="0" b="8890"/>
            <wp:docPr id="772538180"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38180" name="Afbeelding 5" descr="Afbeelding met tekst&#10;&#10;Automatisch gegenereerde beschrijving"/>
                    <pic:cNvPicPr/>
                  </pic:nvPicPr>
                  <pic:blipFill>
                    <a:blip r:embed="rId68"/>
                    <a:stretch>
                      <a:fillRect/>
                    </a:stretch>
                  </pic:blipFill>
                  <pic:spPr>
                    <a:xfrm>
                      <a:off x="0" y="0"/>
                      <a:ext cx="5400040" cy="3286760"/>
                    </a:xfrm>
                    <a:prstGeom prst="rect">
                      <a:avLst/>
                    </a:prstGeom>
                  </pic:spPr>
                </pic:pic>
              </a:graphicData>
            </a:graphic>
          </wp:inline>
        </w:drawing>
      </w:r>
    </w:p>
    <w:p w14:paraId="344B0AC8" w14:textId="1200F371" w:rsidR="00B93F5F" w:rsidRPr="00B93F5F" w:rsidRDefault="006D786D" w:rsidP="00D86824">
      <w:pPr>
        <w:pStyle w:val="Figuurbijschrift"/>
      </w:pPr>
      <w:bookmarkStart w:id="234" w:name="_Ref_20d313326a596fb802f1307305643468_2"/>
      <w:r>
        <w:t>Tijdelijk</w:t>
      </w:r>
      <w:r w:rsidR="001062A8" w:rsidRPr="001062A8">
        <w:t xml:space="preserve"> </w:t>
      </w:r>
      <w:r>
        <w:t>r</w:t>
      </w:r>
      <w:r w:rsidR="001062A8" w:rsidRPr="001062A8">
        <w:t>egelingdeel van de reactieve interventie met voorbeeldteksten</w:t>
      </w:r>
      <w:bookmarkEnd w:id="234"/>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 Id="rId67" Type="http://schemas.openxmlformats.org/officeDocument/2006/relationships/image" Target="media/image_6a2ed4833ba77cc06bdebd3e54920c2a.png"/><Relationship Id="rId68" Type="http://schemas.openxmlformats.org/officeDocument/2006/relationships/image" Target="media/image_bb1c7ad6dfbd40e09b198d5dc232eee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