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567A" w14:textId="3F5497E2" w:rsidR="00595D1F" w:rsidRDefault="009C5C28" w:rsidP="006813F2">
      <w:pPr>
        <w:pStyle w:val="Kop2bijlage"/>
      </w:pPr>
      <w:r>
        <w:lastRenderedPageBreak/>
        <w:t>Voorbeeld reactieve interventie</w:t>
      </w:r>
    </w:p>
    <w:p w14:paraId="53D92BEC" w14:textId="77777777" w:rsidR="009C5C28" w:rsidRPr="007D4A8B" w:rsidRDefault="009C5C28" w:rsidP="009C5C28">
      <w:pPr>
        <w:rPr>
          <w:b/>
          <w:bCs/>
          <w:szCs w:val="18"/>
        </w:rPr>
      </w:pPr>
      <w:r w:rsidRPr="007D4A8B">
        <w:rPr>
          <w:b/>
          <w:bCs/>
          <w:szCs w:val="18"/>
        </w:rPr>
        <w:t>Reactieve interventie aan de gemeente Gemeentestad i.v.m. omgevingsplan wijziging 12</w:t>
      </w:r>
    </w:p>
    <w:p w14:paraId="4D76F13F" w14:textId="77777777" w:rsidR="009C5C28" w:rsidRPr="007D4A8B" w:rsidRDefault="009C5C28" w:rsidP="009C5C28">
      <w:pPr>
        <w:rPr>
          <w:szCs w:val="18"/>
        </w:rPr>
      </w:pPr>
    </w:p>
    <w:p w14:paraId="6711E908" w14:textId="77777777" w:rsidR="009C5C28" w:rsidRPr="007D4A8B" w:rsidRDefault="009C5C28" w:rsidP="00D93AA0">
      <w:r w:rsidRPr="007D4A8B">
        <w:t>Gedeputeerde staten van de provincie Provincieland,</w:t>
      </w:r>
    </w:p>
    <w:p w14:paraId="3525CE5E" w14:textId="5831C6F2" w:rsidR="009C5C28" w:rsidRPr="007D4A8B" w:rsidRDefault="009C5C28" w:rsidP="00D93AA0">
      <w:pPr>
        <w:rPr>
          <w:szCs w:val="18"/>
        </w:rPr>
      </w:pPr>
      <w:r w:rsidRPr="007D4A8B">
        <w:rPr>
          <w:szCs w:val="18"/>
        </w:rPr>
        <w:t xml:space="preserve">overwegende dat burgemeester en wethouders van de gemeente Gemeentestad het ontwerp van het besluit tot wijziging van het omgevingsplan </w:t>
      </w:r>
      <w:r w:rsidR="000506C8">
        <w:rPr>
          <w:szCs w:val="18"/>
        </w:rPr>
        <w:t>‘</w:t>
      </w:r>
      <w:r w:rsidRPr="007D4A8B">
        <w:rPr>
          <w:szCs w:val="18"/>
        </w:rPr>
        <w:t>omgevingsplan wijziging 12</w:t>
      </w:r>
      <w:r w:rsidR="000506C8">
        <w:rPr>
          <w:szCs w:val="18"/>
        </w:rPr>
        <w:t>’</w:t>
      </w:r>
      <w:r w:rsidRPr="007D4A8B">
        <w:rPr>
          <w:szCs w:val="18"/>
        </w:rPr>
        <w:t xml:space="preserve"> met ingang van 1 februari 2024 gedurende zes weken ter inzage hebben gelegd;</w:t>
      </w:r>
    </w:p>
    <w:p w14:paraId="066ACCA9" w14:textId="77777777" w:rsidR="009C5C28" w:rsidRPr="007D4A8B" w:rsidRDefault="009C5C28" w:rsidP="00D93AA0">
      <w:r w:rsidRPr="007D4A8B">
        <w:t>overwegende dat de daarin opgenomen mogelijkheid om bij een geitenhouderij dierenverblijven voor geiten te bouwen met een grotere oppervlakte dan de bestaande oppervlakte, in strijd is met het daarover in onze omgevingsverordening bepaalde waardoor er sprake is van strijd met een belang als bedoeld in artikel 2.3, tweede lid, onder a, Omgevingswet, dat is aangegeven in een door een bestuursorgaan van de provincie openbaar gemaakt document;</w:t>
      </w:r>
    </w:p>
    <w:p w14:paraId="4A3A2112" w14:textId="610591E4" w:rsidR="009C5C28" w:rsidRPr="007D4A8B" w:rsidRDefault="009C5C28" w:rsidP="00D93AA0">
      <w:r w:rsidRPr="007D4A8B">
        <w:t xml:space="preserve">overwegende dat wij tegen het ontwerp van </w:t>
      </w:r>
      <w:r w:rsidR="000506C8">
        <w:t>‘</w:t>
      </w:r>
      <w:r w:rsidRPr="007D4A8B">
        <w:t>omgevingsplan wijziging 12</w:t>
      </w:r>
      <w:r w:rsidR="000506C8">
        <w:t>’</w:t>
      </w:r>
      <w:r w:rsidRPr="007D4A8B">
        <w:t xml:space="preserve"> binnen de termijn die daarvoor openstond een zienswijze hebben ingediend;</w:t>
      </w:r>
    </w:p>
    <w:p w14:paraId="331399CA" w14:textId="77777777" w:rsidR="009C5C28" w:rsidRPr="007D4A8B" w:rsidRDefault="009C5C28" w:rsidP="00D93AA0">
      <w:r w:rsidRPr="007D4A8B">
        <w:t>overwegende dat wij het provinciaal belang inzake geitenhouderijen in afdoende mate hebben vastgelegd in de omgevingsverordening en dat voor ons geen andere bevoegdheden open stonden om het provinciaal belang te behartigen;</w:t>
      </w:r>
    </w:p>
    <w:p w14:paraId="11FFA397" w14:textId="77777777" w:rsidR="009C5C28" w:rsidRPr="007D4A8B" w:rsidRDefault="009C5C28" w:rsidP="00D93AA0">
      <w:r w:rsidRPr="007D4A8B">
        <w:t>overwegende dat de gemeenteraad van de gemeente Gemeentestad bij hun besluit van 24 april 2022 het omgevingsplan hebben gewijzigd en daarbij onze zienswijze niet in het omgevingsplan hebben overgenomen;</w:t>
      </w:r>
    </w:p>
    <w:p w14:paraId="17339D18" w14:textId="77777777" w:rsidR="009C5C28" w:rsidRPr="007D4A8B" w:rsidRDefault="009C5C28" w:rsidP="00D93AA0">
      <w:r w:rsidRPr="007D4A8B">
        <w:t>overwegende dat wij het op grond van het tweede lid van artikel 10.3 Omgevingsbesluit verplichte overleg met burgemeester en wethouders hebben gevoerd;</w:t>
      </w:r>
    </w:p>
    <w:p w14:paraId="321E4EE7" w14:textId="77777777" w:rsidR="009C5C28" w:rsidRPr="007D4A8B" w:rsidRDefault="009C5C28" w:rsidP="00D93AA0">
      <w:r w:rsidRPr="007D4A8B">
        <w:t>gelet op de bepalingen van artikel 16.21 Omgevingswet;</w:t>
      </w:r>
    </w:p>
    <w:p w14:paraId="4FC5BBB3" w14:textId="77777777" w:rsidR="009C5C28" w:rsidRPr="007D4A8B" w:rsidRDefault="009C5C28" w:rsidP="00D93AA0"/>
    <w:p w14:paraId="6FBE9C50" w14:textId="77777777" w:rsidR="009C5C28" w:rsidRPr="007D4A8B" w:rsidRDefault="009C5C28" w:rsidP="009C5C28">
      <w:pPr>
        <w:rPr>
          <w:szCs w:val="18"/>
        </w:rPr>
      </w:pPr>
      <w:r w:rsidRPr="007D4A8B">
        <w:rPr>
          <w:szCs w:val="18"/>
        </w:rPr>
        <w:t>besluiten:</w:t>
      </w:r>
    </w:p>
    <w:p w14:paraId="7AD2FF57" w14:textId="1CBC2CD5" w:rsidR="002B22D2" w:rsidRPr="00243F85" w:rsidRDefault="009C5C28" w:rsidP="009C5C28">
      <w:pPr>
        <w:pStyle w:val="Default"/>
        <w:ind w:right="1701"/>
        <w:rPr>
          <w:rFonts w:asciiTheme="minorHAnsi" w:hAnsiTheme="minorHAnsi" w:cstheme="minorHAnsi"/>
          <w:sz w:val="22"/>
          <w:szCs w:val="22"/>
        </w:rPr>
      </w:pPr>
      <w:r w:rsidRPr="00243F85">
        <w:rPr>
          <w:rFonts w:asciiTheme="minorHAnsi" w:hAnsiTheme="minorHAnsi" w:cstheme="minorHAnsi"/>
          <w:b/>
          <w:bCs/>
          <w:sz w:val="22"/>
          <w:szCs w:val="22"/>
        </w:rPr>
        <w:t>Artikel I</w:t>
      </w:r>
    </w:p>
    <w:p w14:paraId="01D84F87" w14:textId="0B9A9E0D" w:rsidR="009C5C28" w:rsidRDefault="009C5C28" w:rsidP="009C5C28">
      <w:r>
        <w:t>Omgevingsplan wijziging 12 maakt geen deel uit van het omgevingsplan voor zover het betreft:</w:t>
      </w:r>
    </w:p>
    <w:p w14:paraId="626F983A" w14:textId="77777777" w:rsidR="009C5C28" w:rsidRDefault="009C5C28" w:rsidP="00751096">
      <w:pPr>
        <w:pStyle w:val="Opsommingtekens1"/>
      </w:pPr>
      <w:r>
        <w:t>het toedelen van de functie Geitenfokkerij (artikel 4.2 en het bijbehorende geografisch informatieobject ‘Geitenfokkerij’);</w:t>
      </w:r>
    </w:p>
    <w:p w14:paraId="6E2FCD06" w14:textId="77777777" w:rsidR="009C5C28" w:rsidRDefault="009C5C28" w:rsidP="00751096">
      <w:pPr>
        <w:pStyle w:val="Opsommingtekens1"/>
      </w:pPr>
      <w:r>
        <w:t>het toevoegen van regels voor het b</w:t>
      </w:r>
      <w:r w:rsidRPr="00E016E0">
        <w:t xml:space="preserve">ouwen en instandhouden </w:t>
      </w:r>
      <w:r>
        <w:t xml:space="preserve">van </w:t>
      </w:r>
      <w:r w:rsidRPr="00E016E0">
        <w:t xml:space="preserve">bedrijfsgebouwen </w:t>
      </w:r>
      <w:r>
        <w:t>zover dat betrekking heeft op geitenfokkerijen (artikel 5.12 en het bijbehorende geografisch informatieobject);</w:t>
      </w:r>
    </w:p>
    <w:p w14:paraId="3AD95BDC" w14:textId="77777777" w:rsidR="009C5C28" w:rsidRDefault="009C5C28" w:rsidP="00751096">
      <w:pPr>
        <w:pStyle w:val="Opsommingtekens1"/>
      </w:pPr>
      <w:r>
        <w:t>de uitbreiding van de gebieden waar de regels over m</w:t>
      </w:r>
      <w:r w:rsidRPr="009D5273">
        <w:t>aximum bouwhoogte</w:t>
      </w:r>
      <w:r>
        <w:t>, m</w:t>
      </w:r>
      <w:r w:rsidRPr="009D5273">
        <w:t xml:space="preserve">aximum </w:t>
      </w:r>
      <w:r>
        <w:t>goot</w:t>
      </w:r>
      <w:r w:rsidRPr="009D5273">
        <w:t>hoogte</w:t>
      </w:r>
      <w:r>
        <w:t xml:space="preserve"> en m</w:t>
      </w:r>
      <w:r w:rsidRPr="009D5273">
        <w:t xml:space="preserve">aximum </w:t>
      </w:r>
      <w:r>
        <w:t>oppervlakte van toepassing zijn, voor zover deze betrekking hebben op geitenfokkerijen (de geografische informatieobjecten ‘M</w:t>
      </w:r>
      <w:r w:rsidRPr="009D5273">
        <w:t>aximum bouwhoogte</w:t>
      </w:r>
      <w:r>
        <w:t>’, ‘M</w:t>
      </w:r>
      <w:r w:rsidRPr="009D5273">
        <w:t xml:space="preserve">aximum </w:t>
      </w:r>
      <w:r>
        <w:t>goot</w:t>
      </w:r>
      <w:r w:rsidRPr="009D5273">
        <w:t>hoogte</w:t>
      </w:r>
      <w:r>
        <w:t>’ en ‘M</w:t>
      </w:r>
      <w:r w:rsidRPr="009D5273">
        <w:t xml:space="preserve">aximum </w:t>
      </w:r>
      <w:r>
        <w:t>oppervlakte’;</w:t>
      </w:r>
    </w:p>
    <w:p w14:paraId="3FA5EA5A" w14:textId="77777777" w:rsidR="009C5C28" w:rsidRDefault="009C5C28" w:rsidP="00751096">
      <w:pPr>
        <w:pStyle w:val="Opsommingtekens1"/>
      </w:pPr>
      <w:r>
        <w:t>het vergroten van het gebied waarvoor de regels over hygiëne van verblijven van landbouwhuisdieren van toepassing zijn met het gebied waaraan de functie Geitenfokkerij is toegedeeld (wijziging van het geografisch informatieobject Landbouwhuisdierenverblijfhygiëne);</w:t>
      </w:r>
    </w:p>
    <w:p w14:paraId="5B1C59F5" w14:textId="77777777" w:rsidR="009C5C28" w:rsidRDefault="009C5C28" w:rsidP="00751096">
      <w:pPr>
        <w:pStyle w:val="Opsommingtekens1"/>
      </w:pPr>
      <w:r>
        <w:t>het schrappen van het geitenfokkerijverbod;</w:t>
      </w:r>
    </w:p>
    <w:p w14:paraId="69B3EEFB" w14:textId="77777777" w:rsidR="009C5C28" w:rsidRDefault="009C5C28" w:rsidP="00751096">
      <w:pPr>
        <w:pStyle w:val="Opsommingtekens1"/>
      </w:pPr>
      <w:r>
        <w:t>de verkleinen van het gebied waar het wormenkwekerijverbod van toepassing is (artikel 7.4 en het bijbehorende geografische informatieobject Wormenkwekerijverbod).</w:t>
      </w:r>
    </w:p>
    <w:p w14:paraId="36E4115D" w14:textId="77777777" w:rsidR="009C5C28" w:rsidRDefault="009C5C28" w:rsidP="009C5C28"/>
    <w:p w14:paraId="667AF220" w14:textId="77777777" w:rsidR="009C5C28" w:rsidRPr="00751096" w:rsidRDefault="009C5C28" w:rsidP="00751096">
      <w:pPr>
        <w:rPr>
          <w:b/>
          <w:bCs/>
        </w:rPr>
      </w:pPr>
      <w:r w:rsidRPr="00751096">
        <w:rPr>
          <w:b/>
          <w:bCs/>
        </w:rPr>
        <w:lastRenderedPageBreak/>
        <w:t>Artikel II</w:t>
      </w:r>
    </w:p>
    <w:p w14:paraId="15A7B18F" w14:textId="77777777" w:rsidR="009C5C28" w:rsidRDefault="009C5C28" w:rsidP="00751096">
      <w:r w:rsidRPr="000413A7">
        <w:t>Door deze reactieve interventie gelden de betreffende onderdelen zoals aangegeven in bijlage A.</w:t>
      </w:r>
    </w:p>
    <w:p w14:paraId="2EA13EDF" w14:textId="77777777" w:rsidR="00ED0ABD" w:rsidRPr="000413A7" w:rsidRDefault="00ED0ABD" w:rsidP="00751096"/>
    <w:p w14:paraId="5D537F0F" w14:textId="77777777" w:rsidR="009C5C28" w:rsidRPr="00751096" w:rsidRDefault="009C5C28" w:rsidP="00751096">
      <w:pPr>
        <w:rPr>
          <w:b/>
          <w:bCs/>
        </w:rPr>
      </w:pPr>
      <w:r w:rsidRPr="00751096">
        <w:rPr>
          <w:b/>
          <w:bCs/>
        </w:rPr>
        <w:t>Artikel III</w:t>
      </w:r>
    </w:p>
    <w:p w14:paraId="673E408F" w14:textId="77777777" w:rsidR="009C5C28" w:rsidRDefault="009C5C28" w:rsidP="00751096">
      <w:r w:rsidRPr="000413A7">
        <w:t>De gemeenteraad dient er voor te zorgen dat het omgevingsplan binnen 5 werkdagen na bekendmaking van dit besluit in overeenstemming is met bijlage A.</w:t>
      </w:r>
    </w:p>
    <w:p w14:paraId="3EE4A7DD" w14:textId="77777777" w:rsidR="00ED0ABD" w:rsidRPr="000413A7" w:rsidRDefault="00ED0ABD" w:rsidP="00751096"/>
    <w:p w14:paraId="5A3F8D2F" w14:textId="77777777" w:rsidR="009C5C28" w:rsidRPr="00751096" w:rsidRDefault="009C5C28" w:rsidP="00751096">
      <w:pPr>
        <w:rPr>
          <w:rFonts w:cstheme="minorHAnsi"/>
          <w:b/>
          <w:bCs/>
        </w:rPr>
      </w:pPr>
      <w:r w:rsidRPr="00751096">
        <w:rPr>
          <w:rFonts w:cstheme="minorHAnsi"/>
          <w:b/>
          <w:bCs/>
        </w:rPr>
        <w:t>Artikel IV</w:t>
      </w:r>
    </w:p>
    <w:p w14:paraId="531818BE" w14:textId="77777777" w:rsidR="009C5C28" w:rsidRPr="000413A7" w:rsidRDefault="009C5C28" w:rsidP="00751096">
      <w:r w:rsidRPr="000413A7">
        <w:rPr>
          <w:rFonts w:cstheme="minorHAnsi"/>
        </w:rPr>
        <w:t xml:space="preserve">Dit besluit treedt in werking gelijktijdig met de inwerkingtreding van het </w:t>
      </w:r>
      <w:r w:rsidRPr="000413A7">
        <w:t>besluit 2022-34 van de gemeenteraad van de gemeente Gemeentestad tot wijziging van het omgevingsplan</w:t>
      </w:r>
      <w:r w:rsidRPr="000413A7">
        <w:rPr>
          <w:rFonts w:cstheme="minorHAnsi"/>
        </w:rPr>
        <w:t>.</w:t>
      </w:r>
    </w:p>
    <w:p w14:paraId="5E7A149A" w14:textId="77777777" w:rsidR="009C5C28" w:rsidRPr="000413A7" w:rsidRDefault="009C5C28" w:rsidP="009C5C28">
      <w:pPr>
        <w:rPr>
          <w:szCs w:val="18"/>
        </w:rPr>
      </w:pPr>
    </w:p>
    <w:p w14:paraId="0C754126" w14:textId="77777777" w:rsidR="009C5C28" w:rsidRPr="000413A7" w:rsidRDefault="009C5C28" w:rsidP="009C5C28">
      <w:pPr>
        <w:rPr>
          <w:szCs w:val="18"/>
        </w:rPr>
      </w:pPr>
    </w:p>
    <w:p w14:paraId="0951032F" w14:textId="77777777" w:rsidR="009C5C28" w:rsidRPr="000413A7" w:rsidRDefault="009C5C28" w:rsidP="009C5C28">
      <w:pPr>
        <w:rPr>
          <w:szCs w:val="18"/>
        </w:rPr>
      </w:pPr>
      <w:r w:rsidRPr="000413A7">
        <w:rPr>
          <w:szCs w:val="18"/>
        </w:rPr>
        <w:t>Aldus besloten in de vergadering d.d. 6 mei 2024</w:t>
      </w:r>
    </w:p>
    <w:p w14:paraId="03F3D448" w14:textId="77777777" w:rsidR="009C5C28" w:rsidRPr="000413A7" w:rsidRDefault="009C5C28" w:rsidP="009C5C28">
      <w:pPr>
        <w:rPr>
          <w:szCs w:val="18"/>
        </w:rPr>
      </w:pPr>
      <w:r w:rsidRPr="000413A7">
        <w:rPr>
          <w:szCs w:val="18"/>
        </w:rPr>
        <w:t>De griffier,</w:t>
      </w:r>
      <w:r w:rsidRPr="000413A7">
        <w:rPr>
          <w:szCs w:val="18"/>
        </w:rPr>
        <w:tab/>
        <w:t>De voorzitter,</w:t>
      </w:r>
    </w:p>
    <w:p w14:paraId="3C237618" w14:textId="77777777" w:rsidR="009C5C28" w:rsidRDefault="009C5C28" w:rsidP="009C5C28">
      <w:pPr>
        <w:rPr>
          <w:szCs w:val="18"/>
        </w:rPr>
      </w:pPr>
    </w:p>
    <w:p w14:paraId="37764971" w14:textId="0334809D" w:rsidR="009C5C28" w:rsidRDefault="009C5C28">
      <w:pPr>
        <w:rPr>
          <w:b/>
          <w:bCs/>
          <w:sz w:val="24"/>
        </w:rPr>
      </w:pPr>
      <w:r w:rsidRPr="008F01DB">
        <w:rPr>
          <w:b/>
          <w:bCs/>
          <w:sz w:val="24"/>
        </w:rPr>
        <w:t>Bijlage A: Bijlage bij Artikel II</w:t>
      </w:r>
    </w:p>
    <w:p w14:paraId="74D31E3E" w14:textId="77777777" w:rsidR="0023794E" w:rsidRPr="008F01DB" w:rsidRDefault="0023794E" w:rsidP="008F01DB">
      <w:pPr>
        <w:rPr>
          <w:b/>
          <w:bCs/>
        </w:rPr>
      </w:pPr>
    </w:p>
    <w:p w14:paraId="4FEC3BE8" w14:textId="77777777" w:rsidR="009C5C28" w:rsidRPr="008F01DB" w:rsidRDefault="009C5C28" w:rsidP="008F01DB">
      <w:pPr>
        <w:rPr>
          <w:b/>
          <w:bCs/>
        </w:rPr>
      </w:pPr>
      <w:r w:rsidRPr="008F01DB">
        <w:rPr>
          <w:b/>
          <w:bCs/>
          <w:sz w:val="24"/>
        </w:rPr>
        <w:t>Reactieve interventie voor gemeente Gemeentestad</w:t>
      </w:r>
    </w:p>
    <w:p w14:paraId="34C3148A" w14:textId="77777777" w:rsidR="009C5C28" w:rsidRPr="000413A7" w:rsidRDefault="009C5C28" w:rsidP="009C5C28">
      <w:pPr>
        <w:rPr>
          <w:szCs w:val="18"/>
        </w:rPr>
      </w:pPr>
    </w:p>
    <w:p w14:paraId="3AF7C322" w14:textId="77777777" w:rsidR="009C5C28" w:rsidRPr="004326FE" w:rsidRDefault="009C5C28" w:rsidP="008F01DB">
      <w:r w:rsidRPr="008F01DB">
        <w:rPr>
          <w:b/>
          <w:bCs/>
        </w:rPr>
        <w:t>Voorrangsbepaling</w:t>
      </w:r>
    </w:p>
    <w:p w14:paraId="4E05B064" w14:textId="5DF447C0" w:rsidR="009C5C28" w:rsidRPr="000413A7" w:rsidRDefault="009C5C28" w:rsidP="009C5C28">
      <w:pPr>
        <w:rPr>
          <w:szCs w:val="18"/>
        </w:rPr>
      </w:pPr>
      <w:r w:rsidRPr="000413A7">
        <w:rPr>
          <w:szCs w:val="18"/>
        </w:rPr>
        <w:t>Voor</w:t>
      </w:r>
      <w:r w:rsidR="000506C8">
        <w:rPr>
          <w:szCs w:val="18"/>
        </w:rPr>
        <w:t xml:space="preserve"> </w:t>
      </w:r>
      <w:r w:rsidRPr="000413A7">
        <w:rPr>
          <w:szCs w:val="18"/>
        </w:rPr>
        <w:t>zover de hoofdregeling van het omgevingsplan van de gemeente Gemeentestad niet in overeenstemming is gebracht met de bepalingen van deze reactieve interventie, gelden de hierna genoemde onderdelen op de in deze reactieve interventie bepaalde wijze.</w:t>
      </w:r>
    </w:p>
    <w:p w14:paraId="35496746" w14:textId="77777777" w:rsidR="00D74603" w:rsidRDefault="00D74603" w:rsidP="00D74603"/>
    <w:p w14:paraId="4B4CB947" w14:textId="19CF0040" w:rsidR="009C5C28" w:rsidRPr="004326FE" w:rsidRDefault="009C5C28" w:rsidP="008F01DB">
      <w:r w:rsidRPr="008F01DB">
        <w:rPr>
          <w:b/>
          <w:bCs/>
        </w:rPr>
        <w:t>Hoofdstuk 1 Gewijzigd geldende regels omgevingsplan</w:t>
      </w:r>
    </w:p>
    <w:p w14:paraId="596CC789" w14:textId="77777777" w:rsidR="009C5C28" w:rsidRPr="004326FE" w:rsidRDefault="009C5C28" w:rsidP="008F01DB">
      <w:r w:rsidRPr="008F01DB">
        <w:rPr>
          <w:b/>
          <w:bCs/>
        </w:rPr>
        <w:t>Artikel 1.1 Functie geitenfokkerij</w:t>
      </w:r>
    </w:p>
    <w:p w14:paraId="3D2FBE71" w14:textId="77777777" w:rsidR="009C5C28" w:rsidRDefault="009C5C28" w:rsidP="009C5C28">
      <w:pPr>
        <w:rPr>
          <w:szCs w:val="18"/>
        </w:rPr>
      </w:pPr>
      <w:r w:rsidRPr="000413A7">
        <w:rPr>
          <w:szCs w:val="18"/>
        </w:rPr>
        <w:t>Artikel 4.2 (Toedeling Functie Geitenfokkerij) en het bijbehorende werkingsgebied dat is vastgelegd in het geografisch informatieobject ‘Geitenfokkerij’ van bijlage II van de hoofdregeling van het omgevingsplan maken geen onderdeel uit van omgevingsplan.</w:t>
      </w:r>
    </w:p>
    <w:p w14:paraId="5D9EE5D0" w14:textId="77777777" w:rsidR="002F23BD" w:rsidRPr="000413A7" w:rsidRDefault="002F23BD" w:rsidP="009C5C28">
      <w:pPr>
        <w:rPr>
          <w:szCs w:val="18"/>
        </w:rPr>
      </w:pPr>
    </w:p>
    <w:p w14:paraId="6BA9CF90" w14:textId="77777777" w:rsidR="009C5C28" w:rsidRPr="004326FE" w:rsidRDefault="009C5C28" w:rsidP="008F01DB">
      <w:r w:rsidRPr="008F01DB">
        <w:rPr>
          <w:b/>
          <w:bCs/>
        </w:rPr>
        <w:t>Artikel 1.2 Bouwregels geitenfokkerij</w:t>
      </w:r>
    </w:p>
    <w:p w14:paraId="6C8CB155" w14:textId="77777777" w:rsidR="009C5C28" w:rsidRPr="000413A7" w:rsidRDefault="009C5C28">
      <w:pPr>
        <w:pStyle w:val="Lijstalinea"/>
        <w:numPr>
          <w:ilvl w:val="0"/>
          <w:numId w:val="14"/>
        </w:numPr>
        <w:spacing w:line="240" w:lineRule="atLeast"/>
        <w:rPr>
          <w:szCs w:val="18"/>
        </w:rPr>
      </w:pPr>
      <w:r w:rsidRPr="000413A7">
        <w:rPr>
          <w:szCs w:val="18"/>
        </w:rPr>
        <w:t>Artikel 5.12 (Bouwregels voor bedrijfsgebouwen voor varkenshouderijen en geitenfokkerijen) geldt niet voor geitenfokkerijen.</w:t>
      </w:r>
    </w:p>
    <w:p w14:paraId="6C7C0AFA" w14:textId="77777777" w:rsidR="009C5C28" w:rsidRPr="000413A7" w:rsidRDefault="009C5C28">
      <w:pPr>
        <w:pStyle w:val="Lijstalinea"/>
        <w:numPr>
          <w:ilvl w:val="0"/>
          <w:numId w:val="14"/>
        </w:numPr>
        <w:spacing w:line="240" w:lineRule="atLeast"/>
        <w:rPr>
          <w:szCs w:val="18"/>
        </w:rPr>
      </w:pPr>
      <w:r w:rsidRPr="000413A7">
        <w:rPr>
          <w:szCs w:val="18"/>
        </w:rPr>
        <w:t>Het gebied dat is vastgelegd in het geografisch informatieobject ‘</w:t>
      </w:r>
      <w:r w:rsidRPr="000413A7">
        <w:rPr>
          <w:color w:val="0000FF"/>
          <w:szCs w:val="18"/>
          <w:u w:val="single"/>
        </w:rPr>
        <w:t>Regels maatvoering bouwen niet van toepassing</w:t>
      </w:r>
      <w:r w:rsidRPr="000413A7">
        <w:rPr>
          <w:szCs w:val="18"/>
        </w:rPr>
        <w:t>’ behoort niet tot het werkingsgebied van de regels over de maatvoering bouwen die zijn vastgelegd in de geografische informatieobjecten ‘Maximum bouwhoogte’, ‘Maximum goothoogte’ en ‘Maximum oppervlakte’ van bijlage II van de hoofdregeling van het omgevingsplan.</w:t>
      </w:r>
    </w:p>
    <w:p w14:paraId="6F8C77BB" w14:textId="77777777" w:rsidR="002F23BD" w:rsidRDefault="002F23BD" w:rsidP="00D74603"/>
    <w:p w14:paraId="6DBE17D2" w14:textId="1878DB94" w:rsidR="009C5C28" w:rsidRPr="004326FE" w:rsidRDefault="009C5C28" w:rsidP="008F01DB">
      <w:r w:rsidRPr="008F01DB">
        <w:rPr>
          <w:b/>
          <w:bCs/>
        </w:rPr>
        <w:t>Artikel 1.3 Hygiëne verblijven landbouwhuisdieren</w:t>
      </w:r>
    </w:p>
    <w:p w14:paraId="30A4CEFF" w14:textId="77777777" w:rsidR="009C5C28" w:rsidRPr="000413A7" w:rsidRDefault="009C5C28" w:rsidP="009C5C28">
      <w:pPr>
        <w:rPr>
          <w:szCs w:val="18"/>
        </w:rPr>
      </w:pPr>
      <w:r w:rsidRPr="000413A7">
        <w:rPr>
          <w:szCs w:val="18"/>
        </w:rPr>
        <w:t>Artikel 6.21 (Hygiëne van verblijven van landbouwhuisdieren) geldt niet voor het werkingsgebied dat is vastgelegd in het geografisch informatieobject ‘</w:t>
      </w:r>
      <w:r w:rsidRPr="000413A7">
        <w:rPr>
          <w:color w:val="0000FF"/>
          <w:szCs w:val="18"/>
          <w:u w:val="single"/>
        </w:rPr>
        <w:t>Regels Landbouwhuisdierenhygiëne niet van toepassing</w:t>
      </w:r>
      <w:r w:rsidRPr="000413A7">
        <w:rPr>
          <w:szCs w:val="18"/>
        </w:rPr>
        <w:t>’.</w:t>
      </w:r>
    </w:p>
    <w:p w14:paraId="35DE8FBF" w14:textId="77777777" w:rsidR="002F23BD" w:rsidRDefault="002F23BD" w:rsidP="00D74603"/>
    <w:p w14:paraId="3DA5E248" w14:textId="736CF421" w:rsidR="009C5C28" w:rsidRPr="004326FE" w:rsidRDefault="009C5C28" w:rsidP="008F01DB">
      <w:r w:rsidRPr="008F01DB">
        <w:rPr>
          <w:b/>
          <w:bCs/>
        </w:rPr>
        <w:t>Artikel 1.4 Verbod geitenfokkerij</w:t>
      </w:r>
    </w:p>
    <w:p w14:paraId="1FE6AF3D" w14:textId="77777777" w:rsidR="009C5C28" w:rsidRPr="000413A7" w:rsidRDefault="009C5C28" w:rsidP="009C5C28">
      <w:pPr>
        <w:rPr>
          <w:szCs w:val="18"/>
        </w:rPr>
      </w:pPr>
      <w:r w:rsidRPr="000413A7">
        <w:rPr>
          <w:szCs w:val="18"/>
        </w:rPr>
        <w:t>Het volgende artikel is van toepassing</w:t>
      </w:r>
      <w:r>
        <w:rPr>
          <w:szCs w:val="18"/>
        </w:rPr>
        <w:t xml:space="preserve"> gebleven</w:t>
      </w:r>
      <w:r w:rsidRPr="000413A7">
        <w:rPr>
          <w:szCs w:val="18"/>
        </w:rPr>
        <w:t>:</w:t>
      </w:r>
    </w:p>
    <w:p w14:paraId="6FDD6AC8" w14:textId="77777777" w:rsidR="009C5C28" w:rsidRPr="000413A7" w:rsidRDefault="009C5C28" w:rsidP="009C5C28">
      <w:pPr>
        <w:rPr>
          <w:szCs w:val="18"/>
        </w:rPr>
      </w:pPr>
      <w:r w:rsidRPr="000413A7">
        <w:rPr>
          <w:szCs w:val="18"/>
        </w:rPr>
        <w:t>Artikel 7.2 Geitenfokkerijverbod</w:t>
      </w:r>
    </w:p>
    <w:p w14:paraId="1C5680A1" w14:textId="77777777" w:rsidR="009C5C28" w:rsidRPr="000413A7" w:rsidRDefault="009C5C28" w:rsidP="009C5C28">
      <w:pPr>
        <w:rPr>
          <w:szCs w:val="18"/>
        </w:rPr>
      </w:pPr>
      <w:r w:rsidRPr="000413A7">
        <w:rPr>
          <w:szCs w:val="18"/>
        </w:rPr>
        <w:t>Het oprichten, instandhouden en gebruiken van bouwwerken en het gebruik van gronden ten behoeve van geitenfokkerijen is verboden.</w:t>
      </w:r>
    </w:p>
    <w:p w14:paraId="3C399790" w14:textId="77777777" w:rsidR="002F23BD" w:rsidRDefault="002F23BD" w:rsidP="00D74603"/>
    <w:p w14:paraId="3D9171A3" w14:textId="72F8574A" w:rsidR="009C5C28" w:rsidRPr="004326FE" w:rsidRDefault="009C5C28" w:rsidP="008F01DB">
      <w:r w:rsidRPr="008F01DB">
        <w:rPr>
          <w:b/>
          <w:bCs/>
        </w:rPr>
        <w:lastRenderedPageBreak/>
        <w:t>Artikel 1.5 Verbod wormenkwekerij</w:t>
      </w:r>
    </w:p>
    <w:p w14:paraId="0FC14931" w14:textId="77777777" w:rsidR="009C5C28" w:rsidRPr="000413A7" w:rsidRDefault="009C5C28" w:rsidP="009C5C28">
      <w:pPr>
        <w:rPr>
          <w:szCs w:val="18"/>
        </w:rPr>
      </w:pPr>
      <w:r w:rsidRPr="000413A7">
        <w:rPr>
          <w:szCs w:val="18"/>
        </w:rPr>
        <w:t>In afwijking van artikel 7.4 is het oprichten, instandhouden en gebruiken van bouwwerken en het gebruik van gronden ten behoeve van wormenkwekerijen tevens verboden in het werkingsgebied dat is vastgelegd in het geografisch informatieobject ‘</w:t>
      </w:r>
      <w:r w:rsidRPr="000413A7">
        <w:rPr>
          <w:color w:val="0000FF"/>
          <w:szCs w:val="18"/>
          <w:u w:val="single"/>
        </w:rPr>
        <w:t>Aanvullend wormenkwekerijverbod’</w:t>
      </w:r>
      <w:r w:rsidRPr="000413A7">
        <w:rPr>
          <w:szCs w:val="18"/>
        </w:rPr>
        <w:t>.</w:t>
      </w:r>
    </w:p>
    <w:p w14:paraId="0521A184" w14:textId="77777777" w:rsidR="009C5C28" w:rsidRPr="000413A7" w:rsidRDefault="009C5C28" w:rsidP="009C5C28">
      <w:pPr>
        <w:rPr>
          <w:szCs w:val="18"/>
        </w:rPr>
      </w:pPr>
    </w:p>
    <w:p w14:paraId="763DE7B8" w14:textId="77777777" w:rsidR="009C5C28" w:rsidRPr="000413A7" w:rsidRDefault="009C5C28" w:rsidP="009C5C28">
      <w:pPr>
        <w:rPr>
          <w:b/>
          <w:bCs/>
          <w:sz w:val="22"/>
          <w:szCs w:val="22"/>
        </w:rPr>
      </w:pPr>
      <w:r w:rsidRPr="000413A7">
        <w:rPr>
          <w:b/>
          <w:bCs/>
          <w:sz w:val="22"/>
          <w:szCs w:val="22"/>
        </w:rPr>
        <w:t>Bijlage I Overzicht Geografische informatieobjecten</w:t>
      </w:r>
    </w:p>
    <w:p w14:paraId="625E8154" w14:textId="77777777" w:rsidR="00405500" w:rsidRDefault="00405500" w:rsidP="009C5C28">
      <w:pPr>
        <w:rPr>
          <w:szCs w:val="18"/>
        </w:rPr>
      </w:pPr>
    </w:p>
    <w:p w14:paraId="3FEF6279" w14:textId="17B3A8C6" w:rsidR="009C5C28" w:rsidRPr="000413A7" w:rsidRDefault="009C5C28" w:rsidP="009C5C28">
      <w:pPr>
        <w:rPr>
          <w:szCs w:val="18"/>
        </w:rPr>
      </w:pPr>
      <w:r w:rsidRPr="000413A7">
        <w:rPr>
          <w:szCs w:val="18"/>
        </w:rPr>
        <w:t xml:space="preserve">De volgende geografische informatieobjecten gelden in afwijking van en aanvulling op bijlage </w:t>
      </w:r>
      <w:r>
        <w:rPr>
          <w:szCs w:val="18"/>
        </w:rPr>
        <w:t>II</w:t>
      </w:r>
      <w:r w:rsidRPr="000413A7">
        <w:rPr>
          <w:szCs w:val="18"/>
        </w:rPr>
        <w:t xml:space="preserve"> van de hoofdregeling van het omgevingsplan:</w:t>
      </w:r>
    </w:p>
    <w:p w14:paraId="6ABD08D3" w14:textId="77777777" w:rsidR="00BF21D2" w:rsidRDefault="00BF21D2" w:rsidP="009C5C28">
      <w:pPr>
        <w:rPr>
          <w:color w:val="0000FF"/>
          <w:szCs w:val="18"/>
          <w:u w:val="single"/>
        </w:rPr>
      </w:pPr>
    </w:p>
    <w:p w14:paraId="5DA193B2" w14:textId="36977054" w:rsidR="009C5C28" w:rsidRPr="000413A7" w:rsidRDefault="009C5C28" w:rsidP="009C5C28">
      <w:pPr>
        <w:rPr>
          <w:szCs w:val="18"/>
        </w:rPr>
      </w:pPr>
      <w:r w:rsidRPr="000413A7">
        <w:rPr>
          <w:color w:val="0000FF"/>
          <w:szCs w:val="18"/>
          <w:u w:val="single"/>
        </w:rPr>
        <w:t>Regels maatvoering bouwen niet van toepassing</w:t>
      </w:r>
      <w:r w:rsidRPr="000413A7">
        <w:rPr>
          <w:szCs w:val="18"/>
        </w:rPr>
        <w:t>: /join/id/regdata/pv25/2022/Regels_maatvoering_bouwen_nvt/nld@2022-05-06;RI0001</w:t>
      </w:r>
    </w:p>
    <w:p w14:paraId="45C926D3" w14:textId="77777777" w:rsidR="00BF21D2" w:rsidRDefault="00BF21D2" w:rsidP="009C5C28">
      <w:pPr>
        <w:rPr>
          <w:color w:val="0000FF"/>
          <w:szCs w:val="18"/>
          <w:u w:val="single"/>
        </w:rPr>
      </w:pPr>
    </w:p>
    <w:p w14:paraId="1AAC0868" w14:textId="3325A21E" w:rsidR="009C5C28" w:rsidRPr="000413A7" w:rsidRDefault="009C5C28" w:rsidP="009C5C28">
      <w:pPr>
        <w:rPr>
          <w:color w:val="FF0000"/>
          <w:szCs w:val="18"/>
        </w:rPr>
      </w:pPr>
      <w:r w:rsidRPr="000413A7">
        <w:rPr>
          <w:color w:val="0000FF"/>
          <w:szCs w:val="18"/>
          <w:u w:val="single"/>
        </w:rPr>
        <w:t>Aanvullend wormenkwekerijverbod</w:t>
      </w:r>
      <w:r w:rsidRPr="000413A7">
        <w:rPr>
          <w:szCs w:val="18"/>
        </w:rPr>
        <w:t>: /join/id/regdata/pv25/2022/Aanvullend_wormenkwekerijverbod/nld@2022-05-06;RI0001</w:t>
      </w:r>
    </w:p>
    <w:p w14:paraId="0E6B2ABF" w14:textId="77777777" w:rsidR="00BF21D2" w:rsidRDefault="00BF21D2" w:rsidP="009C5C28">
      <w:pPr>
        <w:rPr>
          <w:color w:val="0000FF"/>
          <w:szCs w:val="18"/>
          <w:u w:val="single"/>
        </w:rPr>
      </w:pPr>
    </w:p>
    <w:p w14:paraId="3AA95B60" w14:textId="2E46480B" w:rsidR="009C5C28" w:rsidRPr="00BF21D2" w:rsidRDefault="009C5C28" w:rsidP="009C5C28">
      <w:pPr>
        <w:rPr>
          <w:szCs w:val="18"/>
        </w:rPr>
      </w:pPr>
      <w:r w:rsidRPr="000413A7">
        <w:rPr>
          <w:color w:val="0000FF"/>
          <w:szCs w:val="18"/>
          <w:u w:val="single"/>
        </w:rPr>
        <w:t>Regels Landbouwhuisdierenhygiëne niet van toepassing</w:t>
      </w:r>
      <w:r w:rsidRPr="000413A7">
        <w:rPr>
          <w:szCs w:val="18"/>
        </w:rPr>
        <w:t>: /join/id/regdata/pv25/2022/Regels_landbouwhuisdierenhygiëne_nvt/nld@2022-05-06;RI0001</w:t>
      </w:r>
    </w:p>
    <w:sectPr w:rsidR="009C5C28" w:rsidRPr="00BF21D2"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