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2FEEFDB5"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_Ref_58bb74179cac09b4293b4a66d98485d0_1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B549AC">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B549AC">
        <w:rPr>
          <w:rFonts w:eastAsia="Verdana" w:cs="Verdana"/>
        </w:rPr>
        <w:t>de basistekst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B549AC">
        <w:rPr>
          <w:rFonts w:eastAsia="Verdana"/>
        </w:rPr>
        <w:t>de basistekst</w:t>
      </w:r>
      <w:r w:rsidR="00303821" w:rsidRPr="00A22075">
        <w:rPr>
          <w:rFonts w:eastAsia="Verdana"/>
        </w:rPr>
        <w:fldChar w:fldCharType="end"/>
      </w:r>
      <w:r w:rsidR="00F3193B"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