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A876AC4" w:rsidR="000F2CCF" w:rsidRPr="00307038" w:rsidRDefault="000F2CCF" w:rsidP="000F2CCF">
      <w:pPr>
        <w:pStyle w:val="Kop4"/>
      </w:pPr>
      <w:r>
        <w:t xml:space="preserve">Het juridische besluit in de informatiekundige context van de </w:t>
      </w:r>
      <w:r w:rsidRPr="00455DCD">
        <w:t>STOP/TPOD-standaard</w:t>
      </w:r>
    </w:p>
    <w:p w14:paraId="13B4A6F3" w14:textId="16687556" w:rsidR="00914E8B"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14757A84"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1862D9E4" w:rsidR="00713915" w:rsidRDefault="00713915" w:rsidP="00713915">
      <w:r w:rsidRPr="00724BCC">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B549AC">
        <w:t>de basistekst</w:t>
      </w:r>
      <w:r w:rsidRPr="007B60F8">
        <w:fldChar w:fldCharType="end"/>
      </w:r>
      <w:r w:rsidRPr="00B26823">
        <w:t xml:space="preserve"> </w:t>
      </w:r>
      <w:r w:rsidRPr="007B60F8">
        <w:t>waaraan rechten en plichten kunnen worden ontleend, bestaat uit</w:t>
      </w:r>
      <w:r>
        <w:t xml:space="preserve"> de verzameling van de nieuwe regeling en </w:t>
      </w:r>
      <w:r>
        <w:lastRenderedPageBreak/>
        <w:t xml:space="preserve">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B549AC">
        <w:t>de basistekst</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B549AC">
        <w:t>de basistekst</w:t>
      </w:r>
      <w:r w:rsidRPr="007B60F8">
        <w:fldChar w:fldCharType="end"/>
      </w:r>
      <w:r w:rsidRPr="00B26823">
        <w:t xml:space="preserve"> </w:t>
      </w:r>
      <w:r w:rsidRPr="007B60F8">
        <w:t>die in DSO-LV te raadplegen is.</w:t>
      </w:r>
    </w:p>
    <w:p w14:paraId="073728F9" w14:textId="7A2BE33E"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rPr>
          <w:highlight w:val="yellow"/>
        </w:rPr>
        <w:fldChar w:fldCharType="begin"/>
      </w:r>
      <w:r w:rsidR="001F3E3C">
        <w:instrText xml:space="preserve"> REF _Ref_ee63dade8a194aa698834f8a5ec7048a_1 \n \h </w:instrText>
      </w:r>
      <w:r w:rsidR="001F3E3C">
        <w:rPr>
          <w:highlight w:val="yellow"/>
        </w:rPr>
      </w:r>
      <w:r w:rsidR="001F3E3C">
        <w:rPr>
          <w:highlight w:val="yellow"/>
        </w:rPr>
        <w:fldChar w:fldCharType="separate"/>
      </w:r>
      <w:r w:rsidR="00B549AC">
        <w:t>4.2.3</w:t>
      </w:r>
      <w:r w:rsidR="001F3E3C">
        <w:rPr>
          <w:highlight w:val="yellow"/>
        </w:rPr>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