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414" w:name="_Ref_0654a2c92854587a96b74863de8df734_1"/>
      <w:r w:rsidRPr="00F1426F">
        <w:t>Norm</w:t>
      </w:r>
      <w:bookmarkEnd w:id="414"/>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1C6EEAB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 xml:space="preserve">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71B97548" w:rsidR="00091C16" w:rsidRPr="007B60F8" w:rsidRDefault="00091C16" w:rsidP="002F7B04">
      <w:pPr>
        <w:pStyle w:val="Opsommingtekens3"/>
      </w:pPr>
      <w:r w:rsidRPr="00F1426F">
        <w:rPr>
          <w:i/>
          <w:iCs/>
        </w:rPr>
        <w:t>instructieregelInstrument</w:t>
      </w:r>
      <w:r w:rsidRPr="00F1426F">
        <w:t xml:space="preserve">: </w:t>
      </w:r>
      <w:r w:rsidRPr="00F1426F">
        <w:t xml:space="preserve">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72D543D3"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4A42D559" w:rsidR="00C95366" w:rsidRDefault="00FA7226" w:rsidP="002F7B04">
      <w:r w:rsidRPr="00F1426F">
        <w:lastRenderedPageBreak/>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_Ref_ec7bceb0aa9e3e6c064c2aa59a11bb52_1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B549AC">
        <w:rPr>
          <w:rStyle w:val="Verwijzing"/>
        </w:rPr>
        <w:t>7.3.4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idealisatie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5" Type="http://schemas.openxmlformats.org/officeDocument/2006/relationships/image" Target="media/image_5629b7cba789626c7810de16377801eb.png"/><Relationship Id="rId76"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