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417" w:name="_Ref_d262b6c209d7041c1a4af620482789cb_1"/>
      <w:r w:rsidRPr="00F1426F">
        <w:t>Toelichting op de norm</w:t>
      </w:r>
      <w:bookmarkEnd w:id="417"/>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680F468B"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door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_Ref_d262b6c209d7041c1a4af620482789cb_2 \n \h </w:instrText>
      </w:r>
      <w:r w:rsidR="00B4284E" w:rsidRPr="00863F41">
        <w:rPr>
          <w:rStyle w:val="Verwijzing"/>
        </w:rPr>
      </w:r>
      <w:r w:rsidR="00B4284E" w:rsidRPr="00863F41">
        <w:rPr>
          <w:rStyle w:val="Verwijzing"/>
        </w:rPr>
        <w:fldChar w:fldCharType="separate"/>
      </w:r>
      <w:r w:rsidR="00B549AC">
        <w:rPr>
          <w:rStyle w:val="Verwijzing"/>
        </w:rPr>
        <w:t>Figuur 54</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419" w:name="_Ref_d262b6c209d7041c1a4af620482789cb_2"/>
      <w:r>
        <w:t xml:space="preserve">Gebruik van idealisatie bij twee Juridische regels </w:t>
      </w:r>
      <w:r w:rsidR="00CB3AAC">
        <w:t xml:space="preserve">over </w:t>
      </w:r>
      <w:r>
        <w:t>dezelfde Locatie</w:t>
      </w:r>
      <w:bookmarkEnd w:id="419"/>
    </w:p>
    <w:p w14:paraId="074FBA8B" w14:textId="2FAFB483" w:rsidR="00CD42F2" w:rsidRPr="00F1426F" w:rsidRDefault="00BD4BB7" w:rsidP="00805135">
      <w:pPr>
        <w:pStyle w:val="Opsommingtekens1"/>
      </w:pPr>
      <w:r w:rsidRPr="00F1426F">
        <w:rPr>
          <w:i/>
          <w:iCs/>
        </w:rPr>
        <w:lastRenderedPageBreak/>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_Ref_c624d30fc174a68db977619bb07e25ed_1 \n \h </w:instrText>
      </w:r>
      <w:r w:rsidR="004047B6" w:rsidRPr="00863F41">
        <w:rPr>
          <w:rStyle w:val="Verwijzing"/>
        </w:rPr>
      </w:r>
      <w:r w:rsidR="004047B6" w:rsidRPr="00863F41">
        <w:rPr>
          <w:rStyle w:val="Verwijzing"/>
        </w:rPr>
        <w:fldChar w:fldCharType="separate"/>
      </w:r>
      <w:r w:rsidR="00B549AC">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39699A26"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B549AC">
        <w:rPr>
          <w:rStyle w:val="Verwijzing"/>
        </w:rPr>
        <w:t>7.16</w:t>
      </w:r>
      <w:r w:rsidR="00133DA9" w:rsidRPr="00863F41">
        <w:rPr>
          <w:rStyle w:val="Verwijzing"/>
        </w:rPr>
        <w:fldChar w:fldCharType="end"/>
      </w:r>
      <w:r w:rsidR="00D41DE4">
        <w:t>.</w:t>
      </w:r>
    </w:p>
    <w:p w14:paraId="41329ADB" w14:textId="7D390914" w:rsidR="002029EB" w:rsidRPr="00F1426F" w:rsidRDefault="002029EB" w:rsidP="00E33EDD"/>
    <w:p w14:paraId="05345C3A" w14:textId="1F150EAA" w:rsidR="002029EB" w:rsidRPr="00F1426F" w:rsidRDefault="002029EB" w:rsidP="002029EB">
      <w:r w:rsidRPr="00F1426F">
        <w:lastRenderedPageBreak/>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B549AC">
        <w:rPr>
          <w:rStyle w:val="Verwijzing"/>
        </w:rPr>
        <w:t>7.4.1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5F0630B1"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lastRenderedPageBreak/>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0C76AD4F"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_Ref_adf41deb45af32473cf2b651e407300a_1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B549AC">
        <w:rPr>
          <w:rStyle w:val="Verwijzing"/>
        </w:rPr>
        <w:t>7.3.5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380A5488" w14:textId="25395B30" w:rsidR="00914E8B"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380A5488" w14:textId="25395B30" w:rsidR="00914E8B" w:rsidRPr="00A720A0" w:rsidRDefault="00A720A0" w:rsidP="00A720A0">
                      <w:r w:rsidRPr="00A720A0">
                        <w:t>idealisatie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Daarom geldt, totdat in een volgende versie van dit toepassingsprofiel dan wel in een nader bericht van de beheerder van de TPOD-Standaard anders is bepaald, de werkafspraak ‘Het attribuut idealisatie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7"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