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7B75D9" w:rsidP="002F7B04">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lastRenderedPageBreak/>
        <w:t>soort</w:t>
      </w:r>
      <w:r w:rsidRPr="00F1426F">
        <w:t xml:space="preserve">: door het bevoegd gezag zelf te kiezen, er is geen waardelijst voor </w:t>
      </w:r>
      <w:r w:rsidR="00F024A6" w:rsidRPr="00F1426F">
        <w:t>de</w:t>
      </w:r>
      <w:r w:rsidRPr="00F1426F">
        <w:t xml:space="preserve"> soort van de Hoofdlijn. </w:t>
      </w:r>
      <w:r w:rsidR="00A062DD" w:rsidRPr="00F1426F">
        <w:t xml:space="preserve">Het attribuut </w:t>
      </w:r>
      <w:r w:rsidR="00A062DD" w:rsidRPr="00F1426F">
        <w:rPr>
          <w:i/>
          <w:iCs/>
        </w:rPr>
        <w:t>soort</w:t>
      </w:r>
      <w:r w:rsidR="00A062DD" w:rsidRPr="00F1426F">
        <w:t xml:space="preserve"> maakt het mogelijk om </w:t>
      </w:r>
      <w:r w:rsidR="00E62023" w:rsidRPr="00F1426F">
        <w:t xml:space="preserve">Hoofdlijnen te </w:t>
      </w:r>
      <w:r w:rsidR="0098204D" w:rsidRPr="00F1426F">
        <w:t>groeperen</w:t>
      </w:r>
      <w:r w:rsidR="00E62023" w:rsidRPr="00F1426F">
        <w:t xml:space="preserve">. </w:t>
      </w:r>
      <w:r w:rsidRPr="00F1426F">
        <w:t>Voorbeelden zijn: ambitie, doel, opgave, toekomstperspectief, prioriteit, beleidskeuze</w:t>
      </w:r>
      <w:r w:rsidR="00FD7958" w:rsidRPr="00F1426F">
        <w:t>.</w:t>
      </w:r>
    </w:p>
    <w:p w14:paraId="4C1C1DF2" w14:textId="623355CF" w:rsidR="00914E8B" w:rsidRPr="00F1426F"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C641C3" w:rsidRPr="00F1426F">
        <w:t xml:space="preserve">Dat kan worden aangegeven met het attribuut </w:t>
      </w:r>
      <w:r w:rsidR="00C641C3" w:rsidRPr="00F1426F">
        <w:rPr>
          <w:i/>
          <w:iCs/>
        </w:rPr>
        <w:t>gerelateerdeHoofdlijn</w:t>
      </w:r>
      <w:r w:rsidR="003C59D8" w:rsidRPr="00B26823">
        <w:t>.</w:t>
      </w:r>
      <w:bookmarkStart w:id="453" w:name="_Ref_758759afa0580fb3f52eac50bc75fd40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