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r w:rsidRPr="00F1426F">
        <w:t>Norm</w:t>
      </w:r>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96DAC541-7B7A-43D3-8B79-37D633B846F1}">
                          <asvg:svgBlip xmlns:asvg="http://schemas.microsoft.com/office/drawing/2016/SVG/main" r:embed="rId98"/>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lastRenderedPageBreak/>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2848E7B7"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23BE1A9B"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8D0219" w:rsidRPr="00F1426F">
        <w:t xml:space="preserve">uitbreidbare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2CE7C4A4"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is vrij in de keuze van de eenheid, waarbij gebruik gemaakt kan worden van de </w:t>
      </w:r>
      <w:r w:rsidR="00AE2C2F" w:rsidRPr="00F1426F">
        <w:t>uitbreidbare 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lastRenderedPageBreak/>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Pr="00F1426F" w:rsidRDefault="00FF6BDC" w:rsidP="002F7B04">
      <w:pPr>
        <w:pStyle w:val="Opsommingtekens1"/>
      </w:pPr>
      <w:r w:rsidRPr="00F1426F">
        <w:t>eenheid alleen bij kwantitatieve normwaarden</w:t>
      </w:r>
      <w:r w:rsidR="00A23811"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97" Type="http://schemas.openxmlformats.org/officeDocument/2006/relationships/image" Target="media/image_c25906bcb4ecfcb7dfdd26196ba445c5.png"/><Relationship Id="rId98"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