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90A8E" w14:textId="695BB253" w:rsidR="00205F40" w:rsidRPr="00F1426F" w:rsidRDefault="00205F40" w:rsidP="00205F40">
      <w:pPr>
        <w:pStyle w:val="Kop5"/>
      </w:pPr>
      <w:r w:rsidRPr="00F1426F">
        <w:t>Defensie</w:t>
      </w:r>
    </w:p>
    <w:p w14:paraId="5D86D256" w14:textId="77777777" w:rsidR="00205F40" w:rsidRPr="00F1426F" w:rsidRDefault="00205F40" w:rsidP="00205F40">
      <w:pPr>
        <w:pStyle w:val="Kop6"/>
      </w:pPr>
      <w:r w:rsidRPr="00F1426F">
        <w:t>Toelichting op de toepassing</w:t>
      </w:r>
    </w:p>
    <w:p w14:paraId="18400489" w14:textId="77777777" w:rsidR="00205F40" w:rsidRPr="00F1426F" w:rsidRDefault="00205F40" w:rsidP="00205F40">
      <w:r w:rsidRPr="00F1426F">
        <w:t xml:space="preserve">De Gebiedsaanwijzing van het type Defensie wordt gebruikt voor militaire gebieden, militaire objecten, (de omgeving van) schietterreinen en voor gebieden waar verstoring van radarapparatuur en zend- en ontvangstinstallaties moet worden voorkomen. Voor deze </w:t>
      </w:r>
      <w:r w:rsidRPr="00F1426F">
        <w:lastRenderedPageBreak/>
        <w:t xml:space="preserve">locaties worden bijzondere regels gesteld, onder andere door het Rijk. De Gebiedsaanwijzing </w:t>
      </w:r>
      <w:r>
        <w:t xml:space="preserve">van het type </w:t>
      </w:r>
      <w:r w:rsidRPr="00F1426F">
        <w:t xml:space="preserve">Defensie kan ook worden gebruikt in visies en programma’s voor het aangeven van gebieden en objecten waar beleidsmatig bijzondere aandacht is voor defensie. </w:t>
      </w:r>
      <w:r w:rsidRPr="00E77A86">
        <w:t xml:space="preserve">Ook gemeenten zullen in omgevingsplan, omgevingsvisie en andere beleidsmatige instrumenten beleid en regels over </w:t>
      </w:r>
      <w:r>
        <w:t>defensie</w:t>
      </w:r>
      <w:r w:rsidRPr="00E77A86">
        <w:t xml:space="preserve"> opnemen. Voor de beleidsmatige instrumenten kunnen zij gebruik maken van de Gebiedsaanwijzing </w:t>
      </w:r>
      <w:r>
        <w:t>van het type Defensie</w:t>
      </w:r>
      <w:r w:rsidRPr="00E77A86">
        <w:t>. Voor het omgevingsplan is het uitgangspunt dat zij bij voorkeur gebruik maken van de Gebiedsaanwijzing van het type Functie</w:t>
      </w:r>
      <w:r>
        <w:t xml:space="preserve"> </w:t>
      </w:r>
      <w:r w:rsidRPr="000B37CB">
        <w:t>(en daarvan de relevante groep kiezen)</w:t>
      </w:r>
      <w:r w:rsidRPr="00E77A86">
        <w:t>.</w:t>
      </w:r>
    </w:p>
    <w:p w14:paraId="6AFAC6B2" w14:textId="77777777" w:rsidR="00205F40" w:rsidRPr="00F1426F" w:rsidRDefault="00205F40" w:rsidP="00205F40">
      <w:pPr>
        <w:pStyle w:val="Kop6"/>
      </w:pPr>
      <w:r w:rsidRPr="00F1426F">
        <w:t>Definitie</w:t>
      </w:r>
    </w:p>
    <w:p w14:paraId="31A58D15" w14:textId="77777777" w:rsidR="00205F40" w:rsidRPr="00F1426F" w:rsidRDefault="00205F40" w:rsidP="00205F40">
      <w:r w:rsidRPr="005744E0">
        <w:t xml:space="preserve">De Gebiedsaanwijzing van het type </w:t>
      </w:r>
      <w:r w:rsidRPr="00F1426F">
        <w:t>Defensie is het objecttype dat machineleesbaar maakt dat een Juridische regel of een Tekstdeel en de bijbehorende Locatie(s) een gebied aanwijzen waar de regels of het beleid gericht zijn op de effecten, de bescherming en het tegengaan van verstoring van militaire gebieden en objecten.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