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6F2" w14:textId="6CC776A8" w:rsidR="00605F03" w:rsidRDefault="00605F03" w:rsidP="00DA161C">
      <w:pPr>
        <w:pStyle w:val="Kop4"/>
      </w:pPr>
      <w:bookmarkStart w:id="614" w:name="_Ref_3e556eda820d0b0bbd933460d34e49d8_1"/>
      <w:r>
        <w:t xml:space="preserve">Alternatieven voor </w:t>
      </w:r>
      <w:r w:rsidR="00765842">
        <w:t xml:space="preserve">de </w:t>
      </w:r>
      <w:r w:rsidR="00794479">
        <w:t>wijzigingsmethode</w:t>
      </w:r>
      <w:r w:rsidR="00765842" w:rsidRPr="00765842">
        <w:t xml:space="preserve"> </w:t>
      </w:r>
      <w:r>
        <w:t>renvooi</w:t>
      </w:r>
    </w:p>
    <w:p w14:paraId="7135F8AA" w14:textId="19A4B76F" w:rsidR="00794479" w:rsidRPr="007F15ED" w:rsidRDefault="00DF6D55" w:rsidP="00855EB9">
      <w:r>
        <w:t xml:space="preserve">Er zijn omstandigheden waarin </w:t>
      </w:r>
      <w:r w:rsidR="007F15ED" w:rsidRPr="007F15ED">
        <w:t xml:space="preserve">het gebruik van </w:t>
      </w:r>
      <w:r w:rsidR="00765842">
        <w:t xml:space="preserve">de </w:t>
      </w:r>
      <w:r w:rsidR="00794479">
        <w:t>wijzigingsmethode</w:t>
      </w:r>
      <w:r w:rsidR="00301F1D">
        <w:t xml:space="preserve"> renvooi</w:t>
      </w:r>
      <w:r w:rsidR="007F15ED" w:rsidRPr="007F15ED">
        <w:t xml:space="preserve"> niet mogelijk is, bijvoorbeeld omdat de plansoftware die het bevoegd gezag gebruikt dat nog niet ondersteunt</w:t>
      </w:r>
      <w:r w:rsidR="00B66817">
        <w:t>.</w:t>
      </w:r>
      <w:r w:rsidR="007F15ED" w:rsidRPr="007F15ED">
        <w:t xml:space="preserve"> </w:t>
      </w:r>
      <w:r w:rsidR="00FC2F4A">
        <w:t>Voor</w:t>
      </w:r>
      <w:r w:rsidR="00B66817">
        <w:t xml:space="preserve"> </w:t>
      </w:r>
      <w:r w:rsidR="00FC2F4A">
        <w:t xml:space="preserve">het wijzigen van </w:t>
      </w:r>
      <w:fldSimple w:instr=" DOCVARIABLE ID01+ ">
        <w:r w:rsidR="00B549AC">
          <w:t>de basistekst</w:t>
        </w:r>
      </w:fldSimple>
      <w:r w:rsidR="006416B1">
        <w:t xml:space="preserve"> is het</w:t>
      </w:r>
      <w:r w:rsidR="007F15ED" w:rsidRPr="007F15ED">
        <w:t xml:space="preserve"> </w:t>
      </w:r>
      <w:r w:rsidR="00B66817">
        <w:t xml:space="preserve">dan </w:t>
      </w:r>
      <w:r w:rsidR="007F15ED" w:rsidRPr="007F15ED">
        <w:t xml:space="preserve">bij wijze van Tijdelijke Alternatieve Maatregel </w:t>
      </w:r>
      <w:r w:rsidR="006416B1">
        <w:t xml:space="preserve">toegestaan om </w:t>
      </w:r>
      <w:r w:rsidR="007F15ED" w:rsidRPr="007F15ED">
        <w:t xml:space="preserve">gebruik </w:t>
      </w:r>
      <w:r w:rsidR="006416B1">
        <w:t xml:space="preserve">te maken </w:t>
      </w:r>
      <w:r w:rsidR="007F15ED" w:rsidRPr="007F15ED">
        <w:t xml:space="preserve">van </w:t>
      </w:r>
      <w:r w:rsidR="00B66817">
        <w:t xml:space="preserve">een van de alternatieve wijzigingsmethoden, </w:t>
      </w:r>
      <w:r w:rsidR="003719C8">
        <w:t xml:space="preserve">namelijk Intrekken &amp; vervangen </w:t>
      </w:r>
      <w:r w:rsidR="00440963">
        <w:t xml:space="preserve">(zie paragraaf </w:t>
      </w:r>
      <w:r w:rsidR="0030439D">
        <w:fldChar w:fldCharType="begin"/>
      </w:r>
      <w:r w:rsidR="0030439D">
        <w:instrText xml:space="preserve"> REF _Ref_41879858d51421d3a70ad8a755dc1f4b_1 \n \h </w:instrText>
      </w:r>
      <w:r w:rsidR="0030439D">
        <w:fldChar w:fldCharType="separate"/>
      </w:r>
      <w:r w:rsidR="00B549AC">
        <w:t>8.1.2.1.1</w:t>
      </w:r>
      <w:r w:rsidR="0030439D">
        <w:fldChar w:fldCharType="end"/>
      </w:r>
      <w:r w:rsidR="00853129">
        <w:t>)</w:t>
      </w:r>
      <w:r w:rsidR="0030439D">
        <w:t xml:space="preserve"> </w:t>
      </w:r>
      <w:r w:rsidR="003719C8">
        <w:t xml:space="preserve">of </w:t>
      </w:r>
      <w:r w:rsidR="007F15ED" w:rsidRPr="007F15ED">
        <w:t xml:space="preserve">Integrale </w:t>
      </w:r>
      <w:r w:rsidR="003719C8">
        <w:t>t</w:t>
      </w:r>
      <w:r w:rsidR="007F15ED" w:rsidRPr="007F15ED">
        <w:t>ekstvervanging</w:t>
      </w:r>
      <w:r w:rsidR="0030439D">
        <w:t xml:space="preserve"> (zie paragraaf </w:t>
      </w:r>
      <w:r w:rsidR="0030439D">
        <w:fldChar w:fldCharType="begin"/>
      </w:r>
      <w:r w:rsidR="0030439D">
        <w:instrText xml:space="preserve"> REF _Ref_41879858d51421d3a70ad8a755dc1f4b_2 \n \h </w:instrText>
      </w:r>
      <w:r w:rsidR="0030439D">
        <w:fldChar w:fldCharType="separate"/>
      </w:r>
      <w:r w:rsidR="00B549AC">
        <w:t>8.1.2.1.2</w:t>
      </w:r>
      <w:r w:rsidR="0030439D">
        <w:fldChar w:fldCharType="end"/>
      </w:r>
      <w:r w:rsidR="0030439D">
        <w:t>)</w:t>
      </w:r>
      <w:r w:rsidR="007F15ED" w:rsidRPr="007F15ED">
        <w:t>.</w:t>
      </w:r>
      <w:r w:rsidR="002730D1">
        <w:t xml:space="preserve"> Gebruik van deze wijzigingsmethoden stelt bijzondere eisen aan de formulering van het besluit. Die zijn</w:t>
      </w:r>
      <w:r w:rsidR="009A5F40">
        <w:t xml:space="preserve">, met een voorbeeld, het onderwerp van paragraaf </w:t>
      </w:r>
      <w:r w:rsidR="009A5F40">
        <w:fldChar w:fldCharType="begin"/>
      </w:r>
      <w:r w:rsidR="009A5F40">
        <w:instrText xml:space="preserve"> REF _Ref_3af5d4a03d247e7d09a91c4b2bd8c6f7_1 \n \h </w:instrText>
      </w:r>
      <w:r w:rsidR="009A5F40">
        <w:fldChar w:fldCharType="separate"/>
      </w:r>
      <w:r w:rsidR="00B549AC">
        <w:t>8.1.2.2</w:t>
      </w:r>
      <w:r w:rsidR="009A5F40">
        <w:fldChar w:fldCharType="end"/>
      </w:r>
      <w:r w:rsidR="009A5F4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