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1AAD" w14:textId="77777777" w:rsidR="002F0D2A" w:rsidRPr="000A4B5B" w:rsidRDefault="002F0D2A" w:rsidP="002F0D2A">
      <w:pPr>
        <w:pStyle w:val="Kop4"/>
      </w:pPr>
      <w:r w:rsidRPr="000A4B5B">
        <w:t>Toelichting</w:t>
      </w:r>
    </w:p>
    <w:p w14:paraId="26092356" w14:textId="4E7CCC0C" w:rsidR="002F0D2A" w:rsidRPr="000A4B5B" w:rsidRDefault="002F0D2A" w:rsidP="002F0D2A">
      <w:r w:rsidRPr="000A4B5B">
        <w:t xml:space="preserve">Om het bestuursorgaan de mogelijkheid te bieden </w:t>
      </w:r>
      <w:r w:rsidRPr="007B60F8">
        <w:fldChar w:fldCharType="begin"/>
      </w:r>
      <w:r w:rsidRPr="000A4B5B">
        <w:rPr>
          <w:noProof/>
        </w:rPr>
        <w:instrText xml:space="preserve"> DOCVARIABLE ID01+ </w:instrText>
      </w:r>
      <w:r w:rsidRPr="007B60F8">
        <w:rPr>
          <w:noProof/>
        </w:rPr>
        <w:fldChar w:fldCharType="separate"/>
      </w:r>
      <w:r w:rsidR="00B549AC">
        <w:rPr>
          <w:noProof/>
        </w:rPr>
        <w:t>de basistekst</w:t>
      </w:r>
      <w:r w:rsidRPr="007B60F8">
        <w:fldChar w:fldCharType="end"/>
      </w:r>
      <w:r w:rsidRPr="00B26823">
        <w:t xml:space="preserve"> </w:t>
      </w:r>
      <w:r w:rsidR="00895F39">
        <w:t xml:space="preserve">zoveel mogelijk </w:t>
      </w:r>
      <w:r w:rsidRPr="00B26823">
        <w:t>naar eigen inzicht in te delen schrijf</w:t>
      </w:r>
      <w:r w:rsidRPr="000A4B5B">
        <w:t>t dit toepassingsprofiel slechts een zeer beperkte vorm van standaardinhoudsopgave voor.</w:t>
      </w:r>
    </w:p>
    <w:p w14:paraId="479D4E78" w14:textId="3533DDFE" w:rsidR="002F0D2A" w:rsidRPr="007B60F8" w:rsidRDefault="002F0D2A" w:rsidP="002F0D2A">
      <w:r w:rsidRPr="000A4B5B">
        <w:t xml:space="preserve">De eerste verplichting is dat een </w:t>
      </w:r>
      <w:r w:rsidRPr="007B60F8">
        <w:fldChar w:fldCharType="begin"/>
      </w:r>
      <w:r w:rsidRPr="000A4B5B">
        <w:rPr>
          <w:noProof/>
        </w:rPr>
        <w:instrText xml:space="preserve"> DOCVARIABLE ID01 </w:instrText>
      </w:r>
      <w:r w:rsidRPr="007B60F8">
        <w:rPr>
          <w:noProof/>
        </w:rPr>
        <w:fldChar w:fldCharType="separate"/>
      </w:r>
      <w:r w:rsidR="00B549AC">
        <w:rPr>
          <w:noProof/>
        </w:rPr>
        <w:t>basistekst</w:t>
      </w:r>
      <w:r w:rsidRPr="007B60F8">
        <w:fldChar w:fldCharType="end"/>
      </w:r>
      <w:r w:rsidRPr="00B26823">
        <w:t xml:space="preserve"> een eerste hoofdstuk heeft met het opschrift </w:t>
      </w:r>
      <w:r w:rsidRPr="000A4B5B">
        <w:t xml:space="preserve">‘Algemene bepalingen’. Uitgangspunt is dat in hoofdstuk 1 ‘Algemene bepalingen’ alleen algemene bepalingen worden opgenomen waarvan het werkingsgebied het hele </w:t>
      </w:r>
      <w:r w:rsidR="00C56D98">
        <w:t>regel</w:t>
      </w:r>
      <w:r w:rsidR="00C56D98" w:rsidRPr="000A4B5B">
        <w:t xml:space="preserve">ingsgebied </w:t>
      </w:r>
      <w:r w:rsidRPr="000A4B5B">
        <w:t xml:space="preserve">van </w:t>
      </w:r>
      <w:r w:rsidRPr="007B60F8">
        <w:fldChar w:fldCharType="begin"/>
      </w:r>
      <w:r w:rsidRPr="000A4B5B">
        <w:rPr>
          <w:noProof/>
        </w:rPr>
        <w:instrText xml:space="preserve"> DOCVARIABLE ID01+ </w:instrText>
      </w:r>
      <w:r w:rsidRPr="007B60F8">
        <w:rPr>
          <w:noProof/>
        </w:rPr>
        <w:fldChar w:fldCharType="separate"/>
      </w:r>
      <w:r w:rsidR="00B549AC">
        <w:rPr>
          <w:noProof/>
        </w:rPr>
        <w:t>de basistekst</w:t>
      </w:r>
      <w:r w:rsidRPr="007B60F8">
        <w:fldChar w:fldCharType="end"/>
      </w:r>
      <w:r w:rsidRPr="00B26823">
        <w:t xml:space="preserve"> is. Doel van dit uitgangspunt is tweeledig. Enerzijds wordt het gehanteerd om </w:t>
      </w:r>
      <w:r w:rsidRPr="000E40D3">
        <w:t>ervoor te zorgen dat een gebruiker alle regels die op een locatie gelden gepresenteerd krijgt. Anderzijds voorkomt dit uitgangspunt dat een gebruiker di</w:t>
      </w:r>
      <w:r w:rsidRPr="000A4B5B">
        <w:t>e de regels wil raadplegen die voor een bepaalde locatie gelden ook allerlei regels te zien krijgt die daar niet van toepassing zijn, alleen omdat ze als algemene bepaling zijn geformuleerd zonder er een specifieke locatie aan te koppelen. In hoofdstuk 1 ‘Algemene bepalingen’ kom</w:t>
      </w:r>
      <w:r>
        <w:t>t</w:t>
      </w:r>
      <w:r w:rsidRPr="000A4B5B">
        <w:t xml:space="preserve"> verplicht een artikel Begripsbepalingen voor. D</w:t>
      </w:r>
      <w:r>
        <w:t>at</w:t>
      </w:r>
      <w:r w:rsidRPr="000A4B5B">
        <w:t xml:space="preserve"> artikel bevat alle begrippen, dan wel een verwijzing naar de betreffende bijlage wanneer de begrippen in een bijlage zijn opgenomen. Zie voor de begripsbepalingen paragraaf </w:t>
      </w:r>
      <w:r w:rsidR="00855372" w:rsidRPr="00863F41">
        <w:rPr>
          <w:rStyle w:val="Verwijzing"/>
        </w:rPr>
        <w:fldChar w:fldCharType="begin"/>
      </w:r>
      <w:r w:rsidR="00855372" w:rsidRPr="00863F41">
        <w:rPr>
          <w:rStyle w:val="Verwijzing"/>
        </w:rPr>
        <w:instrText xml:space="preserve"> REF _Ref_ffd132e3100bab77f1680b0e138ebae5_1 \r \h </w:instrText>
      </w:r>
      <w:r w:rsidR="00855372" w:rsidRPr="00863F41">
        <w:rPr>
          <w:rStyle w:val="Verwijzing"/>
        </w:rPr>
      </w:r>
      <w:r w:rsidR="00855372" w:rsidRPr="00863F41">
        <w:rPr>
          <w:rStyle w:val="Verwijzing"/>
        </w:rPr>
        <w:fldChar w:fldCharType="separate"/>
      </w:r>
      <w:r w:rsidR="00B549AC">
        <w:rPr>
          <w:rStyle w:val="Verwijzing"/>
        </w:rPr>
        <w:t>9.2</w:t>
      </w:r>
      <w:r w:rsidR="00855372" w:rsidRPr="00863F41">
        <w:rPr>
          <w:rStyle w:val="Verwijzing"/>
        </w:rPr>
        <w:fldChar w:fldCharType="end"/>
      </w:r>
      <w:r w:rsidRPr="00B26823">
        <w:t>.</w:t>
      </w:r>
    </w:p>
    <w:p w14:paraId="78D81C38" w14:textId="7C6A6582" w:rsidR="002F0D2A" w:rsidRPr="000A4B5B" w:rsidRDefault="002F0D2A" w:rsidP="002F0D2A">
      <w:r w:rsidRPr="000E40D3">
        <w:t>De tweede verplichting is dat</w:t>
      </w:r>
      <w:r w:rsidR="00A946C7">
        <w:t xml:space="preserve"> de Regeling van</w:t>
      </w:r>
      <w:r w:rsidRPr="000E40D3">
        <w:t xml:space="preserve"> </w:t>
      </w:r>
      <w:r w:rsidRPr="007B60F8">
        <w:fldChar w:fldCharType="begin"/>
      </w:r>
      <w:r w:rsidRPr="000A4B5B">
        <w:instrText>DOCVARIABLE ID01+</w:instrText>
      </w:r>
      <w:r w:rsidRPr="007B60F8">
        <w:fldChar w:fldCharType="separate"/>
      </w:r>
      <w:r w:rsidR="00B549AC">
        <w:t>de basistekst</w:t>
      </w:r>
      <w:r w:rsidRPr="007B60F8">
        <w:fldChar w:fldCharType="end"/>
      </w:r>
      <w:r w:rsidRPr="00B26823">
        <w:t xml:space="preserve"> </w:t>
      </w:r>
      <w:r w:rsidRPr="007B60F8">
        <w:t xml:space="preserve">een bijlage bevat waarin de </w:t>
      </w:r>
      <w:r w:rsidR="00831479">
        <w:t>tekstuele aanduidingen</w:t>
      </w:r>
      <w:r w:rsidRPr="007B60F8">
        <w:t xml:space="preserve"> en identificatiecodes van de </w:t>
      </w:r>
      <w:r w:rsidR="00D44198">
        <w:t>GIO’s</w:t>
      </w:r>
      <w:r w:rsidRPr="000A4B5B">
        <w:t xml:space="preserve"> zijn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