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50A2" w14:textId="5054054B" w:rsidR="00F40AC0" w:rsidRDefault="00A74804" w:rsidP="003C1B43">
      <w:pPr>
        <w:pStyle w:val="Kop4"/>
      </w:pPr>
      <w:r>
        <w:t xml:space="preserve">Hergebruik door </w:t>
      </w:r>
      <w:r w:rsidR="00745B51">
        <w:t xml:space="preserve">het kopiëren van </w:t>
      </w:r>
      <w:r w:rsidRPr="00A74804">
        <w:t>GIO</w:t>
      </w:r>
      <w:r w:rsidR="00745B51">
        <w:t>’</w:t>
      </w:r>
      <w:r w:rsidRPr="00A74804">
        <w:t>s en OW-objecten</w:t>
      </w:r>
    </w:p>
    <w:p w14:paraId="6A5FA8BA" w14:textId="5FF95210" w:rsidR="00914E8B" w:rsidRDefault="00F955D5" w:rsidP="00B6246E">
      <w:r>
        <w:t>Bij deze methode wordt een</w:t>
      </w:r>
      <w:r w:rsidR="00684F87" w:rsidRPr="00684F87">
        <w:t xml:space="preserve"> </w:t>
      </w:r>
      <w:r w:rsidR="006F2347">
        <w:t xml:space="preserve">kopie </w:t>
      </w:r>
      <w:r>
        <w:t>ge</w:t>
      </w:r>
      <w:r w:rsidR="00684F87" w:rsidRPr="00684F87">
        <w:t>ma</w:t>
      </w:r>
      <w:r>
        <w:t>a</w:t>
      </w:r>
      <w:r w:rsidR="00684F87" w:rsidRPr="00684F87">
        <w:t>k</w:t>
      </w:r>
      <w:r>
        <w:t>t</w:t>
      </w:r>
      <w:r w:rsidR="00684F87" w:rsidRPr="00684F87">
        <w:t xml:space="preserve"> van een GIO of OW-object in omgevingsdocument A en </w:t>
      </w:r>
      <w:r w:rsidR="006F2347">
        <w:t xml:space="preserve">wordt </w:t>
      </w:r>
      <w:r w:rsidR="00684F87" w:rsidRPr="00684F87">
        <w:t>die kopie in omgevingsdocument B gebruik</w:t>
      </w:r>
      <w:r w:rsidR="006F2347">
        <w:t xml:space="preserve">t. </w:t>
      </w:r>
      <w:r w:rsidR="00B52F97">
        <w:t xml:space="preserve">Dit kan als omgevingsdocumenten A en B van hetzelfde bevoegd gezag zijn, maar ook als ze van verschillende bevoegde gezagen zijn. </w:t>
      </w:r>
      <w:r w:rsidR="005F4367">
        <w:t>D</w:t>
      </w:r>
      <w:r w:rsidR="005F4367" w:rsidRPr="005F4367">
        <w:t xml:space="preserve">e kopie </w:t>
      </w:r>
      <w:r w:rsidR="005F4367">
        <w:t xml:space="preserve">moet </w:t>
      </w:r>
      <w:r w:rsidR="005F4367" w:rsidRPr="005F4367">
        <w:t>een andere identificatie krijgen dan het origineel.</w:t>
      </w:r>
      <w:r w:rsidR="005F4367">
        <w:t xml:space="preserve"> Dat is omdat i</w:t>
      </w:r>
      <w:r w:rsidR="00FE16FC">
        <w:t xml:space="preserve">edere identificatie uniek </w:t>
      </w:r>
      <w:r w:rsidR="005F4367">
        <w:t xml:space="preserve">moet </w:t>
      </w:r>
      <w:r w:rsidR="00FE16FC">
        <w:t>zijn</w:t>
      </w:r>
      <w:r w:rsidR="00B52091">
        <w:t xml:space="preserve"> en (</w:t>
      </w:r>
      <w:r w:rsidR="007A4811">
        <w:t xml:space="preserve">relevant </w:t>
      </w:r>
      <w:r w:rsidR="00B52091">
        <w:t xml:space="preserve">bij een kopie van een </w:t>
      </w:r>
      <w:r w:rsidR="00B52091" w:rsidRPr="00B52091">
        <w:t xml:space="preserve">GIO of OW-object </w:t>
      </w:r>
      <w:r w:rsidR="00DF4AFD">
        <w:t xml:space="preserve">van een ander </w:t>
      </w:r>
      <w:r w:rsidR="00DF4AFD" w:rsidRPr="00DF4AFD">
        <w:t>bevoegd gezag</w:t>
      </w:r>
      <w:r w:rsidR="00DF4AFD">
        <w:t xml:space="preserve">) </w:t>
      </w:r>
      <w:r w:rsidR="00B52091">
        <w:t xml:space="preserve">omdat </w:t>
      </w:r>
      <w:r w:rsidR="00DF4AFD">
        <w:t>in zowel de GIO- als in de OW-object-identificatie de bevoegdgezag-code verweven is</w:t>
      </w:r>
      <w:r w:rsidR="00FE16FC">
        <w:t>.</w:t>
      </w:r>
      <w:bookmarkStart w:id="660" w:name="_Ref_54ccf184d9a0ca8d30ac1819240d508e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