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2211D4F6" w:rsidR="00E43714" w:rsidRDefault="00E43714" w:rsidP="00DA44AF">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