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423F9" w14:textId="77777777" w:rsidR="00E43714" w:rsidRDefault="00E43714" w:rsidP="00E43714">
      <w:pPr>
        <w:pStyle w:val="Kop5"/>
      </w:pPr>
      <w:r>
        <w:t>Kennisgeving voornemen om omgevingsplan vast te stellen</w:t>
      </w:r>
    </w:p>
    <w:p w14:paraId="4344EFD5" w14:textId="77777777" w:rsidR="00E43714" w:rsidRDefault="00E43714" w:rsidP="00E43714">
      <w:pPr>
        <w:pStyle w:val="Kop6"/>
      </w:pPr>
      <w:r>
        <w:t>Juridisch kader</w:t>
      </w:r>
    </w:p>
    <w:p w14:paraId="46B19931" w14:textId="51777DA1" w:rsidR="00E43714" w:rsidRDefault="00E43714" w:rsidP="00E43714">
      <w:r>
        <w:t>De gemeente moet kennis geven v</w:t>
      </w:r>
      <w:r w:rsidRPr="006B21FE">
        <w:t>an het voornemen om een omgevingsplan vast te stellen</w:t>
      </w:r>
      <w:r>
        <w:rPr>
          <w:rStyle w:val="Voetnootmarkering"/>
        </w:rPr>
        <w:footnoteReference w:id="46"/>
      </w:r>
      <w:r w:rsidRPr="006B21FE">
        <w:t xml:space="preserve">. </w:t>
      </w:r>
      <w:r>
        <w:t xml:space="preserve">Deze kennisgeving moet in het </w:t>
      </w:r>
      <w:r w:rsidR="00C8119D">
        <w:t>gemeenteblad</w:t>
      </w:r>
      <w:r>
        <w:t xml:space="preserve"> worden geplaatst</w:t>
      </w:r>
      <w:r>
        <w:rPr>
          <w:rStyle w:val="Voetnootmarkering"/>
        </w:rPr>
        <w:footnoteReference w:id="47"/>
      </w:r>
      <w:r>
        <w:t xml:space="preserve">. In de kennisgeving moet worden aangegeven </w:t>
      </w:r>
      <w:r w:rsidRPr="00276B13">
        <w:t>hoe burgers, bedrijven, maatschappelijke organisaties en bestuursorganen bij de voorbereiding worden betrokken</w:t>
      </w:r>
      <w:r>
        <w:rPr>
          <w:rStyle w:val="Voetnootmarkering"/>
        </w:rPr>
        <w:footnoteReference w:id="48"/>
      </w:r>
      <w:r>
        <w:t>, oftewel hoe het participatieproces zal plaatsvinden.</w:t>
      </w:r>
    </w:p>
    <w:p w14:paraId="264ECC56" w14:textId="77777777" w:rsidR="00E43714" w:rsidRDefault="00E43714" w:rsidP="00E43714">
      <w:pPr>
        <w:pStyle w:val="Kop6"/>
      </w:pPr>
      <w:r>
        <w:t>Aanleveren kennisgeving</w:t>
      </w:r>
    </w:p>
    <w:p w14:paraId="3801C96C" w14:textId="1FB89F3D" w:rsidR="00E43714" w:rsidRDefault="00E43714" w:rsidP="00E43714">
      <w:r w:rsidRPr="00862133">
        <w:t xml:space="preserve">De </w:t>
      </w:r>
      <w:r>
        <w:t xml:space="preserve">gemeente moet de </w:t>
      </w:r>
      <w:r w:rsidRPr="00862133">
        <w:t xml:space="preserve">kennisgeving conform STOP </w:t>
      </w:r>
      <w:r>
        <w:t xml:space="preserve">opstellen </w:t>
      </w:r>
      <w:r w:rsidRPr="00862133">
        <w:t>en aan de LVBB aanlever</w:t>
      </w:r>
      <w:r>
        <w:t>en</w:t>
      </w:r>
      <w:r w:rsidRPr="00862133">
        <w:t>.</w:t>
      </w:r>
      <w:r>
        <w:t xml:space="preserve"> De specificaties voor de vormgeving van de kennisgeving conform STOP staan in paragraaf </w:t>
      </w:r>
      <w:r w:rsidR="00EF30C7">
        <w:fldChar w:fldCharType="begin"/>
      </w:r>
      <w:r w:rsidR="00EF30C7">
        <w:instrText xml:space="preserve"> REF _Ref_67ca20c084a5f79a510fac80fd20bba1_2 \n \h </w:instrText>
      </w:r>
      <w:r w:rsidR="00EF30C7">
        <w:fldChar w:fldCharType="separate"/>
      </w:r>
      <w:r w:rsidR="00B549AC">
        <w:t>10.2.2</w:t>
      </w:r>
      <w:r w:rsidR="00EF30C7">
        <w:fldChar w:fldCharType="end"/>
      </w:r>
      <w:r>
        <w:t xml:space="preserve">. Bij de kennisgeving moeten KennisgevingMetadata worden aangeleverd. De gemeente </w:t>
      </w:r>
      <w:r w:rsidRPr="000636D8">
        <w:t>moet ook een publicatieopdracht aan de LVBB aanlever</w:t>
      </w:r>
      <w:r>
        <w:t>en</w:t>
      </w:r>
      <w:r w:rsidRPr="000636D8">
        <w:t>, waarin wordt aangegeven welk soort publicatie wordt aangeleverd en op welke datum die publicatie gepubliceerd moet worden.</w:t>
      </w:r>
      <w:r>
        <w:t xml:space="preserve"> </w:t>
      </w:r>
      <w:r w:rsidRPr="005B0301">
        <w:t>Dat is achtereenvolgens in de volgende paragrafen beschreven.</w:t>
      </w:r>
    </w:p>
    <w:p w14:paraId="37990755" w14:textId="5339AB57" w:rsidR="00E43714" w:rsidRDefault="00E43714" w:rsidP="00E43714">
      <w:r w:rsidRPr="000071FD">
        <w:t>NB</w:t>
      </w:r>
      <w:r w:rsidR="005160CB">
        <w:t>1</w:t>
      </w:r>
      <w:r w:rsidRPr="000071FD">
        <w:t>: bij dit type kennisgeving wordt geen module Procedureverloop aangeleverd.</w:t>
      </w:r>
    </w:p>
    <w:p w14:paraId="4C645996" w14:textId="030A5D30" w:rsidR="005160CB" w:rsidRDefault="005160CB" w:rsidP="00E43714">
      <w:r>
        <w:lastRenderedPageBreak/>
        <w:t xml:space="preserve">NB2: </w:t>
      </w:r>
      <w:r w:rsidR="005F6B2F" w:rsidRPr="005F6B2F">
        <w:t xml:space="preserve">de kennisgeving komt wel in </w:t>
      </w:r>
      <w:r w:rsidR="00E717A6">
        <w:t>het gemeente</w:t>
      </w:r>
      <w:r w:rsidR="005F6B2F" w:rsidRPr="005F6B2F">
        <w:t>blad, maar wordt niet in DSO-LV getoond.</w:t>
      </w:r>
    </w:p>
    <w:p w14:paraId="10275AF7" w14:textId="1E98BA83" w:rsidR="00DD643E" w:rsidRDefault="00DD643E" w:rsidP="00A565B4">
      <w:pPr>
        <w:pStyle w:val="Kader"/>
      </w:pPr>
      <w:r w:rsidRPr="00B26823">
        <w:rPr>
          <w:noProof/>
        </w:rPr>
        <mc:AlternateContent>
          <mc:Choice Requires="wps">
            <w:drawing>
              <wp:inline distT="0" distB="0" distL="0" distR="0" wp14:anchorId="6437FA78" wp14:editId="60C39EB0">
                <wp:extent cx="5400040" cy="2406360"/>
                <wp:effectExtent l="0" t="0" r="22860" b="10160"/>
                <wp:docPr id="531857373" name="Tekstvak 53185737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4C9508D" w14:textId="77777777" w:rsidR="00DD643E" w:rsidRPr="009A08A2" w:rsidRDefault="00DD643E" w:rsidP="00DD643E">
                            <w:pPr>
                              <w:rPr>
                                <w:b/>
                                <w:bCs/>
                              </w:rPr>
                            </w:pPr>
                            <w:r w:rsidRPr="009A08A2">
                              <w:rPr>
                                <w:b/>
                                <w:bCs/>
                              </w:rPr>
                              <w:t>Toekomstige functionaliteit</w:t>
                            </w:r>
                          </w:p>
                          <w:p w14:paraId="7330D530" w14:textId="5F64880E" w:rsidR="00914E8B" w:rsidRDefault="00DD643E" w:rsidP="00DD643E">
                            <w:r w:rsidRPr="00C352EA">
                              <w:t xml:space="preserve">In deze paragraaf is beschreven </w:t>
                            </w:r>
                            <w:r>
                              <w:t xml:space="preserve">hoe de </w:t>
                            </w:r>
                            <w:r w:rsidRPr="00471692">
                              <w:t>kennisgev</w:t>
                            </w:r>
                            <w:r>
                              <w:t>i</w:t>
                            </w:r>
                            <w:r w:rsidRPr="00471692">
                              <w:t>n</w:t>
                            </w:r>
                            <w:r>
                              <w:t>g</w:t>
                            </w:r>
                            <w:r w:rsidRPr="00471692">
                              <w:t xml:space="preserve"> van het voornemen om een omgevingsplan vast te stellen </w:t>
                            </w:r>
                            <w:r>
                              <w:t>moet worden aangeleverd. Dit is een kennisgeving die gedaan moet worden op een moment dat er nog geen besluit is.</w:t>
                            </w:r>
                          </w:p>
                          <w:p w14:paraId="543F112E" w14:textId="336F9A5C" w:rsidR="00DD643E" w:rsidRDefault="00DD643E" w:rsidP="00DD643E">
                            <w:r w:rsidRPr="00B3240A">
                              <w:t xml:space="preserve">De </w:t>
                            </w:r>
                            <w:r w:rsidR="00D87A87">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12830208" w14:textId="77777777" w:rsidR="00DD643E" w:rsidRDefault="00DD643E" w:rsidP="00DD643E"/>
                          <w:p w14:paraId="46F1AB19" w14:textId="77777777" w:rsidR="00DD643E" w:rsidRPr="00541BF1" w:rsidRDefault="00DD643E" w:rsidP="00DD643E">
                            <w:pPr>
                              <w:rPr>
                                <w:b/>
                                <w:bCs/>
                              </w:rPr>
                            </w:pPr>
                            <w:r w:rsidRPr="00541BF1">
                              <w:rPr>
                                <w:b/>
                                <w:bCs/>
                              </w:rPr>
                              <w:t>Workaround</w:t>
                            </w:r>
                          </w:p>
                          <w:p w14:paraId="403DAEC8" w14:textId="77777777" w:rsidR="00DD643E" w:rsidRPr="00C352EA" w:rsidRDefault="00DD643E" w:rsidP="00DD643E">
                            <w:r>
                              <w:t>Zolang deze kennisgeving niet in de DSO-keten is geïmplementeerd, kan het bevoegd gezag deze kennisgeving met de applicatie DROP aanleveren.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437FA78" id="Tekstvak 531857373" o:spid="_x0000_s104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iBMAIAAFsEAAAOAAAAZHJzL2Uyb0RvYy54bWysVE1v2zAMvQ/YfxB0X+2kSdYZdYqsRYYB&#10;RVsgHXpWZLk2JouCpMTufv2elLgNup2GXWRSpPjxHunLq6HTbK+cb8mUfHKWc6aMpKo1zyX/8bj+&#10;dMGZD8JUQpNRJX9Rnl8tP3647G2hptSQrpRjCGJ80duSNyHYIsu8bFQn/BlZZWCsyXUiQHXPWeVE&#10;j+idzqZ5vsh6cpV1JJX3uL05GPkyxa9rJcN9XXsVmC45agvpdOncxjNbXori2QnbtPJYhviHKjrR&#10;GiR9DXUjgmA71/4RqmulI091OJPUZVTXrVSpB3Qzyd91s2mEVakXgOPtK0z+/4WVd/uNfXAsDF9p&#10;AIERkN76wuMy9jPUrotfVMpgB4Qvr7CpITCJy/ksz/MZTBK26SxfnC8SsNnbc+t8+KaoY1EouQMv&#10;CS6xv/UBKeE6usRshtat1okbbVhf8sX5PE8PPOm2isboFp9ca8f2AuxutZA/Y/mIdeIFTRtcvjUV&#10;pTBsB9ZWaHg+dryl6gVAODrMiLdy3SL+rfDhQTgMBRrEoId7HLUmFEVHibOG3K+/3Ud/cAUrZz2G&#10;rOQGW8CZ/m7A4ZfJLKIWkjKbf55CcaeW7anF7LprQp8TLJSVSYz+QY9i7ah7wjasYk6YhJHIXPIw&#10;itfhMPjYJqlWq+SEKbQi3JqNlTH0iOrj8CScPbIVQPQdjcMoinekHXzjS29XuwDqEqMR5gOmR/Qx&#10;wYmc47bFFTnVk9fbP2H5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fLziBMAIAAFsEAAAOAAAAAAAAAAAAAAAAAC4CAABk&#10;cnMvZTJvRG9jLnhtbFBLAQItABQABgAIAAAAIQDKCzcB3AAAAAUBAAAPAAAAAAAAAAAAAAAAAIoE&#10;AABkcnMvZG93bnJldi54bWxQSwUGAAAAAAQABADzAAAAkwUAAAAA&#10;" filled="f" strokeweight=".5pt">
                <v:textbox style="mso-fit-shape-to-text:t">
                  <w:txbxContent>
                    <w:p w14:paraId="44C9508D" w14:textId="77777777" w:rsidR="00DD643E" w:rsidRPr="009A08A2" w:rsidRDefault="00DD643E" w:rsidP="00DD643E">
                      <w:pPr>
                        <w:rPr>
                          <w:b/>
                          <w:bCs/>
                        </w:rPr>
                      </w:pPr>
                      <w:r w:rsidRPr="009A08A2">
                        <w:rPr>
                          <w:b/>
                          <w:bCs/>
                        </w:rPr>
                        <w:t>Toekomstige functionaliteit</w:t>
                      </w:r>
                    </w:p>
                    <w:p w14:paraId="7330D530" w14:textId="5F64880E" w:rsidR="00914E8B" w:rsidRDefault="00DD643E" w:rsidP="00DD643E">
                      <w:r w:rsidRPr="00C352EA">
                        <w:t xml:space="preserve">In deze paragraaf is beschreven </w:t>
                      </w:r>
                      <w:r>
                        <w:t xml:space="preserve">hoe de </w:t>
                      </w:r>
                      <w:r w:rsidRPr="00471692">
                        <w:t>kennisgev</w:t>
                      </w:r>
                      <w:r>
                        <w:t>i</w:t>
                      </w:r>
                      <w:r w:rsidRPr="00471692">
                        <w:t>n</w:t>
                      </w:r>
                      <w:r>
                        <w:t>g</w:t>
                      </w:r>
                      <w:r w:rsidRPr="00471692">
                        <w:t xml:space="preserve"> van het voornemen om een omgevingsplan vast te stellen </w:t>
                      </w:r>
                      <w:r>
                        <w:t>moet worden aangeleverd. Dit is een kennisgeving die gedaan moet worden op een moment dat er nog geen besluit is.</w:t>
                      </w:r>
                    </w:p>
                    <w:p w14:paraId="543F112E" w14:textId="336F9A5C" w:rsidR="00DD643E" w:rsidRDefault="00DD643E" w:rsidP="00DD643E">
                      <w:r w:rsidRPr="00B3240A">
                        <w:t xml:space="preserve">De </w:t>
                      </w:r>
                      <w:r w:rsidR="00D87A87">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12830208" w14:textId="77777777" w:rsidR="00DD643E" w:rsidRDefault="00DD643E" w:rsidP="00DD643E"/>
                    <w:p w14:paraId="46F1AB19" w14:textId="77777777" w:rsidR="00DD643E" w:rsidRPr="00541BF1" w:rsidRDefault="00DD643E" w:rsidP="00DD643E">
                      <w:pPr>
                        <w:rPr>
                          <w:b/>
                          <w:bCs/>
                        </w:rPr>
                      </w:pPr>
                      <w:r w:rsidRPr="00541BF1">
                        <w:rPr>
                          <w:b/>
                          <w:bCs/>
                        </w:rPr>
                        <w:t>Workaround</w:t>
                      </w:r>
                    </w:p>
                    <w:p w14:paraId="403DAEC8" w14:textId="77777777" w:rsidR="00DD643E" w:rsidRPr="00C352EA" w:rsidRDefault="00DD643E" w:rsidP="00DD643E">
                      <w:r>
                        <w:t>Zolang deze kennisgeving niet in de DSO-keten is geïmplementeerd, kan het bevoegd gezag deze kennisgeving met de applicatie DROP aanleveren.</w:t>
                      </w:r>
                    </w:p>
                  </w:txbxContent>
                </v:textbox>
                <w10:anchorlock/>
              </v:shape>
            </w:pict>
          </mc:Fallback>
        </mc:AlternateContent>
      </w:r>
    </w:p>
    <w:p w14:paraId="04BB0C38" w14:textId="77777777" w:rsidR="00E43714" w:rsidRDefault="00E43714" w:rsidP="00E43714">
      <w:pPr>
        <w:pStyle w:val="Kop6"/>
      </w:pPr>
      <w:r>
        <w:t>KennisgevingMetadata</w:t>
      </w:r>
    </w:p>
    <w:p w14:paraId="4E5E12D9" w14:textId="069E0DA8" w:rsidR="00914E8B"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van het voornemen om een omgevingsplan vast te stellen</w:t>
      </w:r>
      <w:r w:rsidRPr="00103E4B">
        <w:t xml:space="preserve"> </w:t>
      </w:r>
      <w:r>
        <w:t>aangegeven hoe ze moeten worden toegepast</w:t>
      </w:r>
      <w:r w:rsidRPr="00103E4B">
        <w:t>.</w:t>
      </w:r>
    </w:p>
    <w:p w14:paraId="53FE27B9" w14:textId="0A05E24E" w:rsidR="00E43714" w:rsidRDefault="00E43714" w:rsidP="00E43714"/>
    <w:p w14:paraId="07DCF4C2" w14:textId="6C90A05E" w:rsidR="00914E8B" w:rsidRDefault="00E43714" w:rsidP="00E43714">
      <w:pPr>
        <w:pStyle w:val="Opsommingtekens1"/>
      </w:pPr>
      <w:r w:rsidRPr="00073B3E">
        <w:rPr>
          <w:i/>
          <w:iCs/>
        </w:rPr>
        <w:t>eindverantwoordelijke</w:t>
      </w:r>
      <w:r>
        <w:t>: kies uit de STOP-waardelijst voor gemeente (de identificatiecode van) de betreffende gemeente.</w:t>
      </w:r>
    </w:p>
    <w:p w14:paraId="2C5A6B04" w14:textId="42A67531" w:rsidR="00E43714" w:rsidRDefault="00E43714" w:rsidP="00E43714">
      <w:pPr>
        <w:pStyle w:val="Opsommingtekens1"/>
      </w:pPr>
      <w:r w:rsidRPr="00073B3E">
        <w:rPr>
          <w:i/>
          <w:iCs/>
        </w:rPr>
        <w:t>maker</w:t>
      </w:r>
      <w:r>
        <w:t>: kies uit de STOP-waardelijst voor gemeente (de identificatiecode van) de betreffende gemeente.</w:t>
      </w:r>
    </w:p>
    <w:p w14:paraId="23C84A34" w14:textId="4E26750C" w:rsidR="00E43714" w:rsidRDefault="00E43714" w:rsidP="00E43714">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voornemen om een wijziging van het omgevingsplan vast te stellen voor de bouw van 300 woningen in het Westerkwartier’.</w:t>
      </w:r>
    </w:p>
    <w:p w14:paraId="55D366E2" w14:textId="77777777" w:rsidR="00E43714" w:rsidRDefault="00E43714" w:rsidP="00E43714">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1EDC92" w14:textId="77777777" w:rsidR="00E43714" w:rsidRDefault="00E43714" w:rsidP="00E43714">
      <w:pPr>
        <w:pStyle w:val="Opsommingtekens1"/>
      </w:pPr>
      <w:r w:rsidRPr="00B3240A">
        <w:rPr>
          <w:i/>
          <w:iCs/>
        </w:rPr>
        <w:t>soortKennisgeving</w:t>
      </w:r>
      <w:r w:rsidRPr="00B3240A">
        <w:t xml:space="preserve">: </w:t>
      </w:r>
      <w:r>
        <w:t xml:space="preserve">kies </w:t>
      </w:r>
      <w:r w:rsidRPr="00B3240A">
        <w:t>de waarde KennisgevingVoorgenomenBesluit.</w:t>
      </w:r>
    </w:p>
    <w:p w14:paraId="7D00992A" w14:textId="77777777" w:rsidR="00E43714" w:rsidRDefault="00E43714" w:rsidP="00E43714">
      <w:pPr>
        <w:pStyle w:val="Opsommingnummers1"/>
        <w:numPr>
          <w:ilvl w:val="0"/>
          <w:numId w:val="0"/>
        </w:numPr>
        <w:ind w:left="284" w:hanging="284"/>
      </w:pPr>
    </w:p>
    <w:p w14:paraId="79902C66" w14:textId="03651B02" w:rsidR="00914E8B" w:rsidRDefault="00E43714" w:rsidP="00A565B4">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0578D0C3" w14:textId="2B042F9B" w:rsidR="00E43714" w:rsidRDefault="00E43714" w:rsidP="00E43714">
      <w:pPr>
        <w:pStyle w:val="Kop6"/>
      </w:pPr>
      <w:r>
        <w:lastRenderedPageBreak/>
        <w:t>Datum publicatie kennisgeving</w:t>
      </w:r>
    </w:p>
    <w:p w14:paraId="06ED88C2" w14:textId="77777777" w:rsidR="00E43714" w:rsidRPr="00FA20F9" w:rsidRDefault="00E43714" w:rsidP="00E43714">
      <w:r>
        <w:t>De gemeente moet de datum waarop zij wil dat de kennisgeving in het gemeente</w:t>
      </w:r>
      <w:r w:rsidRPr="002D4FE6">
        <w:t>blad</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