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r>
        <w:t>Kennisgeving definitief besluit</w:t>
      </w:r>
    </w:p>
    <w:p w14:paraId="7255DB3C" w14:textId="77777777" w:rsidR="00E43714" w:rsidRDefault="00E43714" w:rsidP="00E43714">
      <w:pPr>
        <w:pStyle w:val="Kop6"/>
      </w:pPr>
      <w:r>
        <w:t>Inhoud en aanlevering kennisgeving</w:t>
      </w:r>
    </w:p>
    <w:p w14:paraId="62C88E7F" w14:textId="7AB9ED14" w:rsidR="00E43714" w:rsidRDefault="00E43714" w:rsidP="00E43714">
      <w:r>
        <w:t xml:space="preserve">Zoals in paragraaf </w:t>
      </w:r>
      <w:r w:rsidR="00071988">
        <w:fldChar w:fldCharType="begin"/>
      </w:r>
      <w:r w:rsidR="00071988">
        <w:instrText xml:space="preserve"> REF _Ref_966f029dcfb1cc6786d3fa27e283e351_1 \n \h </w:instrText>
      </w:r>
      <w:r w:rsidR="00071988">
        <w:fldChar w:fldCharType="separate"/>
      </w:r>
      <w:r w:rsidR="00B549AC">
        <w:t>10.4.4.1</w:t>
      </w:r>
      <w:r w:rsidR="00071988">
        <w:fldChar w:fldCharType="end"/>
      </w:r>
      <w:r>
        <w:t xml:space="preserve"> al is beschreven moet </w:t>
      </w:r>
      <w:r w:rsidRPr="00984B9E">
        <w:t xml:space="preserve">de gemeente </w:t>
      </w:r>
      <w:r w:rsidR="00987C98">
        <w:t xml:space="preserve">gelijktijdig met de bekend making </w:t>
      </w:r>
      <w:r>
        <w:t xml:space="preserve">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90"/>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sidR="00996C90">
        <w:rPr>
          <w:rStyle w:val="Voetnootmarkering"/>
        </w:rPr>
        <w:footnoteReference w:id="91"/>
      </w:r>
      <w:r w:rsidRPr="003A0239">
        <w:t>;</w:t>
      </w:r>
    </w:p>
    <w:p w14:paraId="1D308F81" w14:textId="0F2162D4" w:rsidR="00E43714" w:rsidRDefault="00E43714" w:rsidP="00E43714">
      <w:pPr>
        <w:pStyle w:val="Opsommingtekens1"/>
      </w:pPr>
      <w:r w:rsidRPr="00283271">
        <w:t>dat tegen het besluit beroep kan worden ingesteld, door wie, binnen welke termijn en bij welk orgaan</w:t>
      </w:r>
      <w:r w:rsidR="000036F5">
        <w:rPr>
          <w:rStyle w:val="Voetnootmarkering"/>
        </w:rPr>
        <w:footnoteReference w:id="92"/>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93"/>
      </w:r>
      <w:r w:rsidRPr="00263C68">
        <w:t>.</w:t>
      </w:r>
      <w:r>
        <w:t xml:space="preserve"> Mocht zo</w:t>
      </w:r>
      <w:r w:rsidR="00214877">
        <w:t>’</w:t>
      </w:r>
      <w:r>
        <w:t>n geval aan de orde zijn dan is het verstandig om dat in de kennisgeving te vermelden.</w:t>
      </w:r>
    </w:p>
    <w:p w14:paraId="7DEEA072" w14:textId="4423D51A" w:rsidR="00914E8B" w:rsidRDefault="00E43714" w:rsidP="00E43714">
      <w:r w:rsidRPr="001E2CB4">
        <w:lastRenderedPageBreak/>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071988">
        <w:fldChar w:fldCharType="begin"/>
      </w:r>
      <w:r w:rsidR="00071988">
        <w:instrText xml:space="preserve"> REF _Ref_67ca20c084a5f79a510fac80fd20bba1_4 \n \h </w:instrText>
      </w:r>
      <w:r w:rsidR="00071988">
        <w:fldChar w:fldCharType="separate"/>
      </w:r>
      <w:r w:rsidR="00B549AC">
        <w:t>10.2.2</w:t>
      </w:r>
      <w:r w:rsidR="00071988">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63CCA095" w14:textId="7E0B641D" w:rsidR="00914E8B"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24EECDB" w14:textId="3C3951DD"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749" w:name="_Ref_b2041d6a30d36dbfa68ae98f2c41f3e6_1"/>
      <w:r>
        <w:t>KennisgevingMetadata</w:t>
      </w:r>
      <w:bookmarkEnd w:id="749"/>
    </w:p>
    <w:p w14:paraId="15ED37E8" w14:textId="49639F4A"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D2A5D3A" w14:textId="160CAB77" w:rsidR="00914E8B"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2600E238" w14:textId="4D4744A0" w:rsidR="00E43714" w:rsidRPr="007A0873" w:rsidRDefault="00E43714" w:rsidP="00E43714">
      <w:pPr>
        <w:pStyle w:val="Opsommingtekens1"/>
      </w:pPr>
      <w:r w:rsidRPr="007A0873">
        <w:rPr>
          <w:i/>
          <w:iCs/>
        </w:rPr>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r w:rsidRPr="007A0873">
        <w:t>Procedureverloop</w:t>
      </w:r>
    </w:p>
    <w:p w14:paraId="335FE232" w14:textId="4DFE6767"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6BC6EFA5" w14:textId="10A3A6A4" w:rsidR="00914E8B" w:rsidRDefault="00E43714" w:rsidP="00E43714">
      <w:r w:rsidRPr="007A0873">
        <w:lastRenderedPageBreak/>
        <w:t>De module Procedureverloop is initieel aangeleverd met het definitieve besluit</w:t>
      </w:r>
      <w:r w:rsidR="00064BFD">
        <w:t>, zie paragraaf</w:t>
      </w:r>
      <w:r w:rsidR="00303866">
        <w:t xml:space="preserve"> </w:t>
      </w:r>
      <w:r w:rsidR="00303866">
        <w:fldChar w:fldCharType="begin"/>
      </w:r>
      <w:r w:rsidR="00303866">
        <w:instrText xml:space="preserve"> REF _Ref_0a702afdb5e21ebc2ea9971558d1d741_4 \n \h </w:instrText>
      </w:r>
      <w:r w:rsidR="00303866">
        <w:fldChar w:fldCharType="separate"/>
      </w:r>
      <w:r w:rsidR="00B549AC">
        <w:t>10.4.4.3.3</w:t>
      </w:r>
      <w:r w:rsidR="00303866">
        <w:fldChar w:fldCharType="end"/>
      </w:r>
      <w:r w:rsidRPr="007A0873">
        <w:t xml:space="preserve">. </w:t>
      </w:r>
      <w:r>
        <w:t xml:space="preserve">Het Procedureverloop </w:t>
      </w:r>
      <w:r w:rsidRPr="007A0873">
        <w:t>wordt vervolgens met een Procedureverloopmutatie bij de kennisgeving gemuteerd.</w:t>
      </w:r>
    </w:p>
    <w:p w14:paraId="358F176E" w14:textId="49E46ECC"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