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290B" w14:textId="77777777" w:rsidR="00112579" w:rsidRPr="00EA6F9E" w:rsidRDefault="00112579" w:rsidP="00112579">
      <w:pPr>
        <w:pStyle w:val="Kop5"/>
      </w:pPr>
      <w:bookmarkStart w:id="781" w:name="_Ref_4b7f6362498edd597a307eca5ffb90d4_1"/>
      <w:r>
        <w:t xml:space="preserve">Terinzageleggen </w:t>
      </w:r>
      <w:r w:rsidRPr="00541BF1">
        <w:t>op het ontwerpbesluit betrekking hebbende stukken</w:t>
      </w:r>
      <w:bookmarkEnd w:id="781"/>
    </w:p>
    <w:p w14:paraId="5F00C7BA" w14:textId="0FE669DA" w:rsidR="00914E8B" w:rsidRDefault="00112579" w:rsidP="00112579">
      <w:r>
        <w:t xml:space="preserve">De </w:t>
      </w:r>
      <w:r w:rsidR="00595264">
        <w:t xml:space="preserve">provincie </w:t>
      </w:r>
      <w:r w:rsidRPr="00FE2526">
        <w:t xml:space="preserve">moet </w:t>
      </w:r>
      <w:r w:rsidR="00ED12A2">
        <w:t>eventuele</w:t>
      </w:r>
      <w:r w:rsidRPr="00FE2526">
        <w:t xml:space="preserve"> op het ontwerp betrekking hebbende stukken die redelijkerwijs nodig zijn voor een beoordeling van het ontwerp, ter inzage leggen.</w:t>
      </w:r>
    </w:p>
    <w:p w14:paraId="2592DD1F" w14:textId="7F2BFA9E" w:rsidR="00112579" w:rsidRDefault="00112579" w:rsidP="00112579">
      <w:r>
        <w:t xml:space="preserve">NB: Zoals in paragraaf </w:t>
      </w:r>
      <w:r w:rsidR="00AC677A">
        <w:fldChar w:fldCharType="begin"/>
      </w:r>
      <w:r w:rsidR="00AC677A">
        <w:instrText xml:space="preserve"> REF _Ref_4a2f5e6d8255eaefe13eb2cd53b61896_1 \n \h </w:instrText>
      </w:r>
      <w:r w:rsidR="00AC677A">
        <w:fldChar w:fldCharType="separate"/>
      </w:r>
      <w:r w:rsidR="00B549AC">
        <w:t>10.5.2.1</w:t>
      </w:r>
      <w:r w:rsidR="00AC677A">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0E39C3D5" w14:textId="77777777" w:rsidR="00112579" w:rsidRPr="00F41998" w:rsidRDefault="00112579" w:rsidP="00112579">
      <w:pPr>
        <w:pStyle w:val="Kader"/>
      </w:pPr>
      <w:r w:rsidRPr="00B26823">
        <w:rPr>
          <w:noProof/>
        </w:rPr>
        <w:lastRenderedPageBreak/>
        <mc:AlternateContent>
          <mc:Choice Requires="wps">
            <w:drawing>
              <wp:inline distT="0" distB="0" distL="0" distR="0" wp14:anchorId="367044C7" wp14:editId="0C0B4563">
                <wp:extent cx="5400040" cy="985631"/>
                <wp:effectExtent l="0" t="0" r="22860" b="22860"/>
                <wp:docPr id="1415576849" name="Tekstvak 14155768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FA0B686"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7044C7" id="Tekstvak 1415576849" o:spid="_x0000_s105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97l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GYPe5TACAABaBAAADgAAAAAAAAAAAAAAAAAuAgAAZHJz&#10;L2Uyb0RvYy54bWxQSwECLQAUAAYACAAAACEALfghbNoAAAAFAQAADwAAAAAAAAAAAAAAAACKBAAA&#10;ZHJzL2Rvd25yZXYueG1sUEsFBgAAAAAEAAQA8wAAAJEFAAAAAA==&#10;" filled="f" strokeweight=".5pt">
                <v:textbox style="mso-fit-shape-to-text:t">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FA0B686"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