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801" w:name="_Ref_efc85e7e109e85198b3f23b910772901_1"/>
      <w:r>
        <w:lastRenderedPageBreak/>
        <w:t>Juridisch kader</w:t>
      </w:r>
      <w:bookmarkEnd w:id="801"/>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50"/>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51"/>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52"/>
      </w:r>
      <w:r>
        <w:t xml:space="preserve">. De terinzagelegging vindt niet plaats in het </w:t>
      </w:r>
      <w:r w:rsidR="00434C3C">
        <w:t>waterschapsblad</w:t>
      </w:r>
      <w:r>
        <w:rPr>
          <w:rStyle w:val="Voetnootmarkering"/>
        </w:rPr>
        <w:footnoteReference w:id="153"/>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76D7C568" w14:textId="4A6BFFEB" w:rsidR="00914E8B"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54"/>
      </w:r>
      <w:r>
        <w:t xml:space="preserve"> </w:t>
      </w:r>
      <w:r w:rsidRPr="00676BBD">
        <w:t xml:space="preserve">in het </w:t>
      </w:r>
      <w:r w:rsidR="00434C3C">
        <w:t>waterschapsblad</w:t>
      </w:r>
      <w:r>
        <w:rPr>
          <w:rStyle w:val="Voetnootmarkering"/>
        </w:rPr>
        <w:footnoteReference w:id="155"/>
      </w:r>
      <w:r w:rsidRPr="007F5A8E">
        <w:t>.</w:t>
      </w:r>
    </w:p>
    <w:p w14:paraId="2D364F40" w14:textId="4EBD0E42"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56"/>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57"/>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58"/>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59"/>
      </w:r>
      <w:r>
        <w:t>.</w:t>
      </w:r>
    </w:p>
    <w:p w14:paraId="29C2424E" w14:textId="77777777" w:rsidR="008E0935" w:rsidRDefault="008E0935" w:rsidP="00440967"/>
    <w:p w14:paraId="78E736DD" w14:textId="2C45B137" w:rsidR="00914E8B" w:rsidRDefault="00440967" w:rsidP="00440967">
      <w:r>
        <w:lastRenderedPageBreak/>
        <w:t xml:space="preserve">Zienswijzen over het ontwerp kunnen </w:t>
      </w:r>
      <w:r w:rsidRPr="00730C98">
        <w:t>naar voren worden gebracht door eenieder</w:t>
      </w:r>
      <w:r>
        <w:rPr>
          <w:rStyle w:val="Voetnootmarkering"/>
        </w:rPr>
        <w:footnoteReference w:id="160"/>
      </w:r>
      <w:r>
        <w:t xml:space="preserve">. De termijn daarvoor bedraagt </w:t>
      </w:r>
      <w:r w:rsidRPr="00090C8F">
        <w:t>zes weken</w:t>
      </w:r>
      <w:r>
        <w:rPr>
          <w:rStyle w:val="Voetnootmarkering"/>
        </w:rPr>
        <w:footnoteReference w:id="161"/>
      </w:r>
      <w:r>
        <w:t>.</w:t>
      </w:r>
    </w:p>
    <w:p w14:paraId="3BA80807" w14:textId="5930B48B" w:rsidR="00440967" w:rsidRDefault="00440967" w:rsidP="00440967"/>
    <w:p w14:paraId="3848B68E" w14:textId="204C11BF"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_Ref_febc94de42eb847a3d495b7b2b4fcc04_1 \n \h </w:instrText>
      </w:r>
      <w:r w:rsidR="003200EF">
        <w:fldChar w:fldCharType="separate"/>
      </w:r>
      <w:r w:rsidR="00B549AC">
        <w:t>10.6.2.2</w:t>
      </w:r>
      <w:r w:rsidR="003200EF">
        <w:fldChar w:fldCharType="end"/>
      </w:r>
      <w:r>
        <w:t>; de aanlevering van de kennisgeving in paragraaf</w:t>
      </w:r>
      <w:r w:rsidR="003200EF">
        <w:t xml:space="preserve"> </w:t>
      </w:r>
      <w:r w:rsidR="003200EF">
        <w:fldChar w:fldCharType="begin"/>
      </w:r>
      <w:r w:rsidR="003200EF">
        <w:instrText xml:space="preserve"> REF _Ref_7ea537a8de938b16fa35963de5e82ea9_1 \n \h </w:instrText>
      </w:r>
      <w:r w:rsidR="003200EF">
        <w:fldChar w:fldCharType="separate"/>
      </w:r>
      <w:r w:rsidR="00B549AC">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_Ref_0086a5dbb0d4152b40c82901cbb5f02c_1 \n \h </w:instrText>
      </w:r>
      <w:r w:rsidR="003200EF">
        <w:rPr>
          <w:highlight w:val="yellow"/>
        </w:rPr>
      </w:r>
      <w:r w:rsidR="003200EF">
        <w:rPr>
          <w:highlight w:val="yellow"/>
        </w:rPr>
        <w:fldChar w:fldCharType="separate"/>
      </w:r>
      <w:r w:rsidR="00B549AC">
        <w:t>10.6.2.4</w:t>
      </w:r>
      <w:r w:rsidR="003200EF">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