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6D3ADB19"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6D3ADB19"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