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69"/>
      </w:r>
      <w:r>
        <w:t xml:space="preserve"> op de door de minister van BZK </w:t>
      </w:r>
      <w:r w:rsidRPr="00EB6A94">
        <w:t>in stand gehouden digitale infrastructuur</w:t>
      </w:r>
      <w:r>
        <w:rPr>
          <w:rStyle w:val="Voetnootmarkering"/>
        </w:rPr>
        <w:footnoteReference w:id="170"/>
      </w:r>
      <w:r>
        <w:t xml:space="preserve">: de lokale regelingenbanken op overheid.nl. </w:t>
      </w:r>
      <w:r w:rsidRPr="00565ACD">
        <w:t>Te consolideren wijzigingen in een algemeen verbindend voorschrift kunnen als bron hebbe</w:t>
      </w:r>
      <w:r>
        <w:t>n</w:t>
      </w:r>
      <w:r>
        <w:rPr>
          <w:rStyle w:val="Voetnootmarkering"/>
        </w:rPr>
        <w:footnoteReference w:id="171"/>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6E1EAA10" w14:textId="4014468D" w:rsidR="00914E8B"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