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828" w:name="_Ref_ede283140758ce437d4399374fd69963_1"/>
      <w:r>
        <w:t>Juridisch kader</w:t>
      </w:r>
      <w:bookmarkEnd w:id="828"/>
    </w:p>
    <w:p w14:paraId="0C00BE45" w14:textId="678B39C9" w:rsidR="00321C84" w:rsidRDefault="00F57AE4" w:rsidP="00321C84">
      <w:r>
        <w:t>Op de voorbereiding van de omgevingsvisie is afdeling 3.4 Awb van toepassing</w:t>
      </w:r>
      <w:r>
        <w:rPr>
          <w:rStyle w:val="Voetnootmarkering"/>
        </w:rPr>
        <w:footnoteReference w:id="172"/>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xml:space="preserve">.” In artikel 10.7a lid 1 Ob is die uitzondering vastgelegd: “Bij de voorbereiding van een gemeentelijke, provinciale of nationale omgevingsvisie waarop afdeling 3.4 van de Algemene wet bestuursrecht van </w:t>
      </w:r>
      <w:r w:rsidR="006371BE" w:rsidRPr="006371BE">
        <w:lastRenderedPageBreak/>
        <w:t>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73"/>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74"/>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75"/>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76"/>
      </w:r>
      <w:r>
        <w:t xml:space="preserve"> </w:t>
      </w:r>
      <w:r w:rsidRPr="00676BBD">
        <w:t xml:space="preserve">in </w:t>
      </w:r>
      <w:r w:rsidR="00375898" w:rsidRPr="00375898">
        <w:t>gemeenteblad, provinciaal blad of Staatscourant</w:t>
      </w:r>
      <w:r>
        <w:rPr>
          <w:rStyle w:val="Voetnootmarkering"/>
        </w:rPr>
        <w:footnoteReference w:id="177"/>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78"/>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79"/>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80"/>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81"/>
      </w:r>
      <w:r>
        <w:t>.</w:t>
      </w:r>
    </w:p>
    <w:p w14:paraId="41311F4C" w14:textId="77777777" w:rsidR="007B18BE" w:rsidRDefault="007B18BE" w:rsidP="00321C84"/>
    <w:p w14:paraId="6AE27570" w14:textId="2DEC4E5E" w:rsidR="00914E8B" w:rsidRDefault="00321C84" w:rsidP="00F57AE4">
      <w:r>
        <w:t xml:space="preserve">Zienswijzen over het ontwerp kunnen </w:t>
      </w:r>
      <w:r w:rsidRPr="00730C98">
        <w:t>naar voren worden gebracht door eenieder</w:t>
      </w:r>
      <w:r>
        <w:rPr>
          <w:rStyle w:val="Voetnootmarkering"/>
        </w:rPr>
        <w:footnoteReference w:id="182"/>
      </w:r>
      <w:r>
        <w:t xml:space="preserve">. De termijn daarvoor bedraagt </w:t>
      </w:r>
      <w:r w:rsidRPr="00090C8F">
        <w:t>zes weken</w:t>
      </w:r>
      <w:r>
        <w:rPr>
          <w:rStyle w:val="Voetnootmarkering"/>
        </w:rPr>
        <w:footnoteReference w:id="183"/>
      </w:r>
      <w:r>
        <w:t>.</w:t>
      </w:r>
    </w:p>
    <w:p w14:paraId="6C6A08B6" w14:textId="0CC02FD1" w:rsidR="00302EDE" w:rsidRDefault="00302EDE" w:rsidP="00F57AE4"/>
    <w:p w14:paraId="5ACA59DE" w14:textId="2C90B113"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STOP/TPOD-standaard opstellen en aan de LVBB aanleveren</w:t>
      </w:r>
      <w:r>
        <w:t xml:space="preserve">. De aanlevering van het ontwerpbesluit is beschreven in paragraaf </w:t>
      </w:r>
      <w:r w:rsidR="008856E3">
        <w:fldChar w:fldCharType="begin"/>
      </w:r>
      <w:r w:rsidR="008856E3">
        <w:instrText xml:space="preserve"> REF _Ref_1e950934cbcfeb1164b2c29d53250aa0_1 \n \h </w:instrText>
      </w:r>
      <w:r w:rsidR="008856E3">
        <w:fldChar w:fldCharType="separate"/>
      </w:r>
      <w:r w:rsidR="00B549AC">
        <w:t>10.7.2.2</w:t>
      </w:r>
      <w:r w:rsidR="008856E3">
        <w:fldChar w:fldCharType="end"/>
      </w:r>
      <w:r>
        <w:t xml:space="preserve">; de aanlevering van de kennisgeving in paragraaf </w:t>
      </w:r>
      <w:r w:rsidR="008856E3">
        <w:fldChar w:fldCharType="begin"/>
      </w:r>
      <w:r w:rsidR="008856E3">
        <w:instrText xml:space="preserve"> REF _Ref_34719d3ea63a87c129a5b778beceb59e_1 \n \h </w:instrText>
      </w:r>
      <w:r w:rsidR="008856E3">
        <w:fldChar w:fldCharType="separate"/>
      </w:r>
      <w:r w:rsidR="00B549AC">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_Ref_bf3463c5bf35dc25f2d6906894f97071_1 \n \h </w:instrText>
      </w:r>
      <w:r w:rsidR="00DE415E">
        <w:rPr>
          <w:highlight w:val="yellow"/>
        </w:rPr>
      </w:r>
      <w:r w:rsidR="00DE415E">
        <w:rPr>
          <w:highlight w:val="yellow"/>
        </w:rPr>
        <w:fldChar w:fldCharType="separate"/>
      </w:r>
      <w:r w:rsidR="00B549AC">
        <w:t>10.7.2.4</w:t>
      </w:r>
      <w:r w:rsidR="00DE415E">
        <w:rPr>
          <w:highlight w:val="yellow"/>
        </w:rPr>
        <w:fldChar w:fldCharType="end"/>
      </w:r>
      <w:r w:rsidR="008856E3"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