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2E21" w14:textId="77777777" w:rsidR="00EC1A29" w:rsidRDefault="00EC1A29" w:rsidP="00EC1A29">
      <w:pPr>
        <w:pStyle w:val="Kop5"/>
      </w:pPr>
      <w:r>
        <w:t>Juridisch kader</w:t>
      </w:r>
    </w:p>
    <w:p w14:paraId="0BC06475" w14:textId="77777777" w:rsidR="00EC1A29" w:rsidRDefault="00EC1A29" w:rsidP="00EC1A29">
      <w:pPr>
        <w:pStyle w:val="Kop6"/>
      </w:pPr>
      <w:r>
        <w:t>Vaststelling</w:t>
      </w:r>
    </w:p>
    <w:p w14:paraId="60832C48" w14:textId="1C1A490C" w:rsidR="00914E8B" w:rsidRDefault="00EC1A29" w:rsidP="00EC1A29">
      <w:r>
        <w:t>H</w:t>
      </w:r>
      <w:r w:rsidRPr="00EC606D">
        <w:t xml:space="preserve">et </w:t>
      </w:r>
      <w:r>
        <w:t xml:space="preserve">dagelijks </w:t>
      </w:r>
      <w:r w:rsidRPr="00EC606D">
        <w:t xml:space="preserve">bestuur van het waterschap, gedeputeerde staten respectievelijk de minister die het aangaat </w:t>
      </w:r>
      <w:r>
        <w:t>stelt het projectbesluit vast</w:t>
      </w:r>
      <w:r>
        <w:rPr>
          <w:rStyle w:val="Voetnootmarkering"/>
        </w:rPr>
        <w:footnoteReference w:id="235"/>
      </w:r>
      <w:r>
        <w:t xml:space="preserve">. </w:t>
      </w:r>
      <w:r w:rsidRPr="00657130">
        <w:t>Deze bevoegdheid kan niet gedelegeerd worden</w:t>
      </w:r>
      <w:r>
        <w:t>.</w:t>
      </w:r>
      <w:bookmarkStart w:id="902" w:name="_Ref_235de80b63f402fa5c1b8456b222e5cb_1"/>
      <w:bookmarkStart w:id="903" w:name="_Ref_235de80b63f402fa5c1b8456b222e5cb_2"/>
    </w:p>
    <w:p w14:paraId="552DDB30" w14:textId="2346ADEF" w:rsidR="00EC1A29" w:rsidRDefault="00EC1A29" w:rsidP="00EC1A29">
      <w:pPr>
        <w:pStyle w:val="Kop6"/>
      </w:pPr>
      <w:r>
        <w:lastRenderedPageBreak/>
        <w:t>Bekendmaking</w:t>
      </w:r>
      <w:bookmarkEnd w:id="902"/>
      <w:r>
        <w:t xml:space="preserve"> en terinzagelegging bij projectbesluit provincie en Rijk</w:t>
      </w:r>
      <w:bookmarkEnd w:id="903"/>
    </w:p>
    <w:p w14:paraId="1157635F" w14:textId="1E6817E3" w:rsidR="00914E8B" w:rsidRDefault="00EC1A29" w:rsidP="00EC1A29">
      <w:r>
        <w:t xml:space="preserve">Het </w:t>
      </w:r>
      <w:r w:rsidRPr="009E7B50">
        <w:t xml:space="preserve">projectbesluit </w:t>
      </w:r>
      <w:r>
        <w:t>van provincie of Rijk wordt bekendgemaakt door plaatsing ervan in het</w:t>
      </w:r>
      <w:r w:rsidRPr="00A17AE9">
        <w:t xml:space="preserve"> provinciaal blad </w:t>
      </w:r>
      <w:r>
        <w:t xml:space="preserve">respectievelijk de </w:t>
      </w:r>
      <w:r w:rsidRPr="00A17AE9">
        <w:t>Staatscourant</w:t>
      </w:r>
      <w:r>
        <w:rPr>
          <w:rStyle w:val="Voetnootmarkering"/>
        </w:rPr>
        <w:footnoteReference w:id="236"/>
      </w:r>
      <w:r>
        <w:t>. D</w:t>
      </w:r>
      <w:r w:rsidRPr="007A3CB8">
        <w:t>e provincie respectievelijk de minister kan zelf de datum van bekendmaking bepalen</w:t>
      </w:r>
      <w:r>
        <w:t>.</w:t>
      </w:r>
    </w:p>
    <w:p w14:paraId="1AFAE00D" w14:textId="608BFA51" w:rsidR="00615E17" w:rsidRDefault="00615E17" w:rsidP="00EC1A29"/>
    <w:p w14:paraId="3723EF33" w14:textId="3A95EC98" w:rsidR="00615E17" w:rsidRDefault="00615E17" w:rsidP="00615E17">
      <w:r w:rsidRPr="00E54BDF">
        <w:t>In afwijking van artikel 3:1, eerste lid, aanhef en onder b, van de Algemene wet bestuursrecht zijn de afdelingen 3.6 en 3.7 van die wet van toepassing op een projectbesluit</w:t>
      </w:r>
      <w:r>
        <w:rPr>
          <w:rStyle w:val="Voetnootmarkering"/>
        </w:rPr>
        <w:footnoteReference w:id="237"/>
      </w:r>
      <w:r w:rsidRPr="00E54BDF">
        <w:t>.</w:t>
      </w:r>
      <w:r>
        <w:t xml:space="preserve"> </w:t>
      </w:r>
      <w:r w:rsidRPr="00E54BDF">
        <w:t xml:space="preserve">Dit betekent dat naast de bepalingen van de Bekendmakingswet, ook </w:t>
      </w:r>
      <w:r>
        <w:t xml:space="preserve">de </w:t>
      </w:r>
      <w:r w:rsidRPr="00E54BDF">
        <w:t xml:space="preserve">bepalingen van de Awb over bekendmaking en mededeling van besluiten op het </w:t>
      </w:r>
      <w:r>
        <w:t>projectbesluit</w:t>
      </w:r>
      <w:r w:rsidRPr="00E54BDF">
        <w:t xml:space="preserve"> van toepassing zijn, datzelfde geldt voor de Awb-bepalingen over de motivering van besluiten.</w:t>
      </w:r>
    </w:p>
    <w:p w14:paraId="00B79B53" w14:textId="1A6933FD" w:rsidR="00914E8B" w:rsidRDefault="00EC1A29" w:rsidP="00EC1A29">
      <w:r>
        <w:t xml:space="preserve">Het </w:t>
      </w:r>
      <w:r w:rsidRPr="009E7B50">
        <w:t xml:space="preserve">projectbesluit </w:t>
      </w:r>
      <w:r w:rsidRPr="001975FA">
        <w:t>dient te berusten op een deugdelijke motivering</w:t>
      </w:r>
      <w:r>
        <w:t xml:space="preserve">, die moet worden </w:t>
      </w:r>
      <w:r w:rsidRPr="00112897">
        <w:t xml:space="preserve">vermeld bij de bekendmaking van het </w:t>
      </w:r>
      <w:r>
        <w:t>project</w:t>
      </w:r>
      <w:r w:rsidRPr="00112897">
        <w:t>besluit</w:t>
      </w:r>
      <w:r>
        <w:rPr>
          <w:rStyle w:val="Voetnootmarkering"/>
        </w:rPr>
        <w:footnoteReference w:id="238"/>
      </w:r>
      <w:r w:rsidRPr="001975FA">
        <w:t>.</w:t>
      </w:r>
    </w:p>
    <w:p w14:paraId="2108F70C" w14:textId="740ED82A" w:rsidR="00914E8B" w:rsidRDefault="00642E8F" w:rsidP="00EC1A29">
      <w:r>
        <w:t>Tegen het projectbesluit kan rechtstreeks beroep bij de Afdeling bestuursrechtspraak van de Raad van State worden ingesteld</w:t>
      </w:r>
      <w:r>
        <w:rPr>
          <w:rStyle w:val="Voetnootmarkering"/>
        </w:rPr>
        <w:footnoteReference w:id="239"/>
      </w:r>
      <w:r>
        <w:t xml:space="preserve"> (zie </w:t>
      </w:r>
      <w:r w:rsidR="005A5F46">
        <w:t>hier</w:t>
      </w:r>
      <w:r>
        <w:t>voor verder paragra</w:t>
      </w:r>
      <w:r w:rsidR="005A5F46">
        <w:t xml:space="preserve">fen </w:t>
      </w:r>
      <w:r w:rsidR="005A5F46">
        <w:fldChar w:fldCharType="begin"/>
      </w:r>
      <w:r w:rsidR="005A5F46">
        <w:instrText xml:space="preserve"> REF _Ref_235de80b63f402fa5c1b8456b222e5cb_4 \n \h </w:instrText>
      </w:r>
      <w:r w:rsidR="005A5F46">
        <w:fldChar w:fldCharType="separate"/>
      </w:r>
      <w:r w:rsidR="00B549AC">
        <w:t>10.8.5.1.4</w:t>
      </w:r>
      <w:r w:rsidR="005A5F46">
        <w:fldChar w:fldCharType="end"/>
      </w:r>
      <w:r w:rsidR="005A5F46">
        <w:t xml:space="preserve"> en</w:t>
      </w:r>
      <w:r>
        <w:t xml:space="preserve"> </w:t>
      </w:r>
      <w:r w:rsidR="00B72B44">
        <w:rPr>
          <w:rStyle w:val="Verwijzing"/>
        </w:rPr>
        <w:fldChar w:fldCharType="begin"/>
      </w:r>
      <w:r w:rsidR="00B72B44">
        <w:instrText xml:space="preserve"> REF _Ref_4fb2adae78b0658809a49eb52b18b178_1 \n \h </w:instrText>
      </w:r>
      <w:r w:rsidR="00B72B44">
        <w:rPr>
          <w:rStyle w:val="Verwijzing"/>
        </w:rPr>
      </w:r>
      <w:r w:rsidR="00B72B44">
        <w:rPr>
          <w:rStyle w:val="Verwijzing"/>
        </w:rPr>
        <w:fldChar w:fldCharType="separate"/>
      </w:r>
      <w:r w:rsidR="00B549AC">
        <w:t>10.8.6</w:t>
      </w:r>
      <w:r w:rsidR="00B72B44">
        <w:rPr>
          <w:rStyle w:val="Verwijzing"/>
        </w:rPr>
        <w:fldChar w:fldCharType="end"/>
      </w:r>
      <w:r>
        <w:t>).</w:t>
      </w:r>
      <w:r w:rsidR="00253852">
        <w:t xml:space="preserve"> </w:t>
      </w:r>
      <w:r w:rsidR="00EC1A29">
        <w:t xml:space="preserve">Bij </w:t>
      </w:r>
      <w:r w:rsidR="00EC1A29" w:rsidRPr="008E6D40">
        <w:t xml:space="preserve">de bekendmaking van het </w:t>
      </w:r>
      <w:r w:rsidR="00EC1A29" w:rsidRPr="009E7B50">
        <w:t xml:space="preserve">projectbesluit </w:t>
      </w:r>
      <w:r w:rsidR="00EC1A29">
        <w:t xml:space="preserve">moet </w:t>
      </w:r>
      <w:r w:rsidR="00EC1A29" w:rsidRPr="008E6D40">
        <w:t>melding gemaakt</w:t>
      </w:r>
      <w:r w:rsidR="00EC1A29">
        <w:t xml:space="preserve"> worden van het feit dat tegen het </w:t>
      </w:r>
      <w:r w:rsidR="00EC1A29" w:rsidRPr="00206A50">
        <w:t xml:space="preserve">projectbesluit </w:t>
      </w:r>
      <w:r w:rsidR="00EC1A29" w:rsidRPr="008E6D40">
        <w:t>beroep kan worden ingesteld.</w:t>
      </w:r>
      <w:r w:rsidR="00EC1A29">
        <w:t xml:space="preserve"> Daarbij moet worden </w:t>
      </w:r>
      <w:r w:rsidR="00EC1A29" w:rsidRPr="006B0115">
        <w:t>vermeld door wie, binnen welke termijn en bij welk orgaan beroep kan worden ingesteld</w:t>
      </w:r>
      <w:r w:rsidR="00EC1A29">
        <w:rPr>
          <w:rStyle w:val="Voetnootmarkering"/>
        </w:rPr>
        <w:footnoteReference w:id="240"/>
      </w:r>
      <w:r w:rsidR="00EC1A29" w:rsidRPr="006B0115">
        <w:t>.</w:t>
      </w:r>
      <w:r w:rsidR="00EC1A29">
        <w:t xml:space="preserve"> </w:t>
      </w:r>
      <w:r w:rsidR="00EC1A29" w:rsidRPr="005C7189">
        <w:t>Deze bepaling houdt in dat deze zogeheten rechtsmiddelenclausule in het besluit moet worden opgenomen.</w:t>
      </w:r>
      <w:r w:rsidR="00C81D99">
        <w:t xml:space="preserve"> </w:t>
      </w:r>
      <w:r w:rsidR="00C81D99" w:rsidRPr="00C81D99">
        <w:t xml:space="preserve">Bij de bekendmaking van </w:t>
      </w:r>
      <w:r w:rsidR="00AC4732">
        <w:t>het</w:t>
      </w:r>
      <w:r w:rsidR="00C81D99" w:rsidRPr="00C81D99">
        <w:t xml:space="preserve"> projectbesluit wordt de bijzondere regeling over het aanvoeren van gronden van het beroep, bedoeld in artikel 16.86</w:t>
      </w:r>
      <w:r w:rsidR="0021679F">
        <w:t xml:space="preserve"> Ow</w:t>
      </w:r>
      <w:r w:rsidR="00C81D99" w:rsidRPr="00C81D99">
        <w:t>, vermeld</w:t>
      </w:r>
      <w:r w:rsidR="00134F1A">
        <w:rPr>
          <w:rStyle w:val="Voetnootmarkering"/>
        </w:rPr>
        <w:footnoteReference w:id="241"/>
      </w:r>
      <w:r w:rsidR="00C81D99" w:rsidRPr="00C81D99">
        <w:t>.</w:t>
      </w:r>
      <w:r w:rsidR="00C81D99">
        <w:t xml:space="preserve"> </w:t>
      </w:r>
      <w:r w:rsidR="00B9103C">
        <w:t>Vermeld moet dus worden dat b</w:t>
      </w:r>
      <w:r w:rsidR="0075478A">
        <w:t xml:space="preserve">ij het </w:t>
      </w:r>
      <w:r w:rsidR="00CA55A3">
        <w:t xml:space="preserve">instellen van </w:t>
      </w:r>
      <w:r w:rsidR="0075478A">
        <w:t xml:space="preserve">beroep tegen </w:t>
      </w:r>
      <w:r w:rsidR="00AC4732">
        <w:t>het</w:t>
      </w:r>
      <w:r w:rsidR="0075478A">
        <w:t xml:space="preserve"> projectbesluit na afloop van de beroepstermijn geen beroepsgronden meer </w:t>
      </w:r>
      <w:r w:rsidR="00B9103C" w:rsidRPr="00B9103C">
        <w:t xml:space="preserve">kunnen </w:t>
      </w:r>
      <w:r w:rsidR="0075478A">
        <w:t>worden aangevoerd</w:t>
      </w:r>
      <w:r w:rsidR="00E8112F">
        <w:t xml:space="preserve"> en </w:t>
      </w:r>
      <w:r w:rsidR="00B9103C">
        <w:t xml:space="preserve">dat </w:t>
      </w:r>
      <w:r w:rsidR="00E8112F">
        <w:t xml:space="preserve">het beroep niet-ontvankelijk </w:t>
      </w:r>
      <w:r w:rsidR="00B9103C" w:rsidRPr="00B9103C">
        <w:t xml:space="preserve">wordt </w:t>
      </w:r>
      <w:r w:rsidR="00E8112F">
        <w:t xml:space="preserve">verklaard </w:t>
      </w:r>
      <w:r w:rsidR="00EE6885">
        <w:t>als de beroepsgronden niet in het beroepschrift zijn vermeld</w:t>
      </w:r>
      <w:r w:rsidR="0021679F">
        <w:rPr>
          <w:rStyle w:val="Voetnootmarkering"/>
        </w:rPr>
        <w:footnoteReference w:id="242"/>
      </w:r>
      <w:r w:rsidR="0075478A">
        <w:t>.</w:t>
      </w:r>
    </w:p>
    <w:p w14:paraId="3D2245AC" w14:textId="6FFA4639" w:rsidR="005F6140" w:rsidRDefault="005F6140" w:rsidP="00EC1A29"/>
    <w:p w14:paraId="41B3CCD6" w14:textId="6718F187" w:rsidR="00EC1A29" w:rsidRDefault="00EC1A29" w:rsidP="00EC1A29">
      <w:r>
        <w:t xml:space="preserve">Het projectbesluit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243"/>
      </w:r>
      <w:r>
        <w:t xml:space="preserve"> en moet </w:t>
      </w:r>
      <w:r w:rsidRPr="00C0058C">
        <w:t xml:space="preserve">gelijktijdig met de bekendmaking van het </w:t>
      </w:r>
      <w:r>
        <w:t>project</w:t>
      </w:r>
      <w:r w:rsidRPr="00C0058C">
        <w:t>besluit kennis</w:t>
      </w:r>
      <w:r>
        <w:t xml:space="preserve"> </w:t>
      </w:r>
      <w:r w:rsidRPr="00C0058C">
        <w:t>worden gegeven van de terinzagelegging van d</w:t>
      </w:r>
      <w:r>
        <w:t>i</w:t>
      </w:r>
      <w:r w:rsidRPr="00C0058C">
        <w:t>e stukken</w:t>
      </w:r>
      <w:r>
        <w:rPr>
          <w:rStyle w:val="Voetnootmarkering"/>
        </w:rPr>
        <w:footnoteReference w:id="244"/>
      </w:r>
      <w:r>
        <w:t xml:space="preserve">. De terinzagelegging geschiedt zowel op elektronische wijze als op een door </w:t>
      </w:r>
      <w:r w:rsidRPr="00CB765D">
        <w:t>provincie of Rijk</w:t>
      </w:r>
      <w:r>
        <w:t xml:space="preserve"> aan te wijzen locatie</w:t>
      </w:r>
      <w:r>
        <w:rPr>
          <w:rStyle w:val="Voetnootmarkering"/>
        </w:rPr>
        <w:footnoteReference w:id="245"/>
      </w:r>
      <w:r>
        <w:t xml:space="preserve">. De terinzagelegging vindt niet plaats in </w:t>
      </w:r>
      <w:r w:rsidRPr="00F0063E">
        <w:t xml:space="preserve">provinciaal blad </w:t>
      </w:r>
      <w:r>
        <w:t xml:space="preserve">of </w:t>
      </w:r>
      <w:r w:rsidRPr="00F0063E">
        <w:t>Staatscourant</w:t>
      </w:r>
      <w:r>
        <w:rPr>
          <w:rStyle w:val="Voetnootmarkering"/>
        </w:rPr>
        <w:footnoteReference w:id="246"/>
      </w:r>
      <w:r>
        <w:t xml:space="preserve">. Dit betekent dat het bestuursorgaan moet zorgen voor de elektronische terinzagelegging van </w:t>
      </w:r>
      <w:r w:rsidRPr="00491E78">
        <w:t>op de zaak betrekking hebbende stukken</w:t>
      </w:r>
      <w:r>
        <w:t xml:space="preserve"> en voor de terinzagelegging van die stukken op een fysieke locatie. </w:t>
      </w:r>
      <w:r w:rsidRPr="000824D4">
        <w:t xml:space="preserve">Op </w:t>
      </w:r>
      <w:r>
        <w:t>de zaak</w:t>
      </w:r>
      <w:r w:rsidRPr="000824D4">
        <w:t xml:space="preserve"> betrekking hebbende stukken zullen vooral bestaan uit rapportages van uitgevoerde onderzoeken.</w:t>
      </w:r>
      <w:r>
        <w:t xml:space="preserve"> </w:t>
      </w:r>
      <w:r w:rsidR="00721C21" w:rsidRPr="00721C21">
        <w:t xml:space="preserve">De terinzagelegging op een door </w:t>
      </w:r>
      <w:r w:rsidR="00136A4A" w:rsidRPr="00136A4A">
        <w:t xml:space="preserve">het bestuursorgaan </w:t>
      </w:r>
      <w:r w:rsidR="00721C21" w:rsidRPr="00721C21">
        <w:t xml:space="preserve">te bepalen locatie kan worden georganiseerd door op een in de kennisgeving aangegeven locatie de mogelijkheid te bieden om op een beeldscherm de op de zaak betrekking hebbende stukken te raadplegen. Uiteraard is het ook mogelijk om alle </w:t>
      </w:r>
      <w:r w:rsidR="00721C21" w:rsidRPr="00721C21">
        <w:lastRenderedPageBreak/>
        <w:t xml:space="preserve">stukken te printen en </w:t>
      </w:r>
      <w:r w:rsidR="00136A4A">
        <w:t xml:space="preserve">op een fysieke locatie </w:t>
      </w:r>
      <w:r w:rsidR="00721C21" w:rsidRPr="00721C21">
        <w:t>klaar te leggen voor inzage.</w:t>
      </w:r>
      <w:r w:rsidR="00721C21">
        <w:t xml:space="preserve"> </w:t>
      </w:r>
      <w:r w:rsidRPr="004D7A24">
        <w:t xml:space="preserve">Het </w:t>
      </w:r>
      <w:r>
        <w:t>project</w:t>
      </w:r>
      <w:r w:rsidRPr="004D7A24">
        <w:t>besluit zelf hoeft niet ter inzage gelegd te worden, da</w:t>
      </w:r>
      <w:r>
        <w:t>t</w:t>
      </w:r>
      <w:r w:rsidRPr="004D7A24">
        <w:t xml:space="preserve"> moet immers </w:t>
      </w:r>
      <w:r>
        <w:t xml:space="preserve">bekendgemaakt worden </w:t>
      </w:r>
      <w:r w:rsidRPr="004D7A24">
        <w:t>in het publicatieblad</w:t>
      </w:r>
      <w:r>
        <w:t xml:space="preserve">. De </w:t>
      </w:r>
      <w:r w:rsidRPr="001A08CC">
        <w:t>stukken liggen ter inzage totdat de beroepstermijn is verstreken</w:t>
      </w:r>
      <w:r>
        <w:rPr>
          <w:rStyle w:val="Voetnootmarkering"/>
        </w:rPr>
        <w:footnoteReference w:id="247"/>
      </w:r>
      <w:r w:rsidRPr="00822ACB">
        <w:t>.</w:t>
      </w:r>
      <w:r>
        <w:t xml:space="preserve"> </w:t>
      </w:r>
      <w:r w:rsidR="00B13E4B" w:rsidRPr="005D1B54">
        <w:t xml:space="preserve">Tegelijkertijd met of zo spoedig mogelijk na de bekendmaking </w:t>
      </w:r>
      <w:r w:rsidR="00082FA4">
        <w:t>moet provincie of Rijk</w:t>
      </w:r>
      <w:r w:rsidR="00B13E4B" w:rsidRPr="005D1B54">
        <w:t xml:space="preserve"> van het besluit mededeling </w:t>
      </w:r>
      <w:r w:rsidR="00082FA4">
        <w:t xml:space="preserve">doen </w:t>
      </w:r>
      <w:r w:rsidR="00B13E4B" w:rsidRPr="005D1B54">
        <w:t>aan degenen die bij de voorbereiding ervan hun zienswijze naar voren hebben gebracht</w:t>
      </w:r>
      <w:r w:rsidR="00B13E4B">
        <w:rPr>
          <w:rStyle w:val="Voetnootmarkering"/>
        </w:rPr>
        <w:footnoteReference w:id="248"/>
      </w:r>
      <w:r w:rsidR="00B13E4B" w:rsidRPr="005D1B54">
        <w:t>.</w:t>
      </w:r>
      <w:r w:rsidR="00B13E4B">
        <w:t xml:space="preserve"> Aan hen moet </w:t>
      </w:r>
      <w:r w:rsidR="00CE7C34">
        <w:t xml:space="preserve">provincie of Rijk </w:t>
      </w:r>
      <w:r w:rsidR="00B13E4B">
        <w:t>een exemplaar van het besluit toez</w:t>
      </w:r>
      <w:r w:rsidR="00CE7C34">
        <w:t>e</w:t>
      </w:r>
      <w:r w:rsidR="00B13E4B">
        <w:t>nden</w:t>
      </w:r>
      <w:r w:rsidR="00B13E4B">
        <w:rPr>
          <w:rStyle w:val="Voetnootmarkering"/>
        </w:rPr>
        <w:footnoteReference w:id="249"/>
      </w:r>
      <w:r w:rsidR="00B13E4B">
        <w:t>.</w:t>
      </w:r>
    </w:p>
    <w:p w14:paraId="29C6099B" w14:textId="77777777" w:rsidR="00EC1A29" w:rsidRDefault="00EC1A29" w:rsidP="00EC1A29">
      <w:r>
        <w:t>Uit het systeem van de wet vloeit voort dat een projectbesluit</w:t>
      </w:r>
      <w:r w:rsidRPr="00D5622B">
        <w:t xml:space="preserve"> niet eerder mag worden bekendgemaakt dan de dag waarop de Omgevingswet in werking treedt. De voorbereiding van het </w:t>
      </w:r>
      <w:r>
        <w:t>project</w:t>
      </w:r>
      <w:r w:rsidRPr="00D5622B">
        <w:t>besluit, inclusief de vaststelling, kan wel voor inwerkingtreden van de Omgevingswet plaatsvinden.</w:t>
      </w:r>
    </w:p>
    <w:p w14:paraId="2D6B4D4F" w14:textId="77777777" w:rsidR="00EC1A29" w:rsidRDefault="00EC1A29" w:rsidP="00EC1A29">
      <w:pPr>
        <w:pStyle w:val="Kop6"/>
      </w:pPr>
      <w:bookmarkStart w:id="904" w:name="_Ref_235de80b63f402fa5c1b8456b222e5cb_3"/>
      <w:r>
        <w:t>G</w:t>
      </w:r>
      <w:r w:rsidRPr="00E41A42">
        <w:t>oedkeuring</w:t>
      </w:r>
      <w:r>
        <w:t>, b</w:t>
      </w:r>
      <w:r w:rsidRPr="00A47F2E">
        <w:t xml:space="preserve">ekendmaking </w:t>
      </w:r>
      <w:r>
        <w:t>en terinzagelegging bij projectbesluit waterschap</w:t>
      </w:r>
      <w:bookmarkEnd w:id="904"/>
    </w:p>
    <w:p w14:paraId="0881ACEA" w14:textId="77777777" w:rsidR="00EC1A29" w:rsidRDefault="00EC1A29" w:rsidP="00EC1A29">
      <w:r>
        <w:t>Een projectbesluit dat is vastgesteld door het dagelijks bestuur van het waterschap behoeft goedkeuring van GS van de provincie waarin het projectbesluit wordt uitgevoerd dan wel GS van de provincie waarin het projectbesluit in hoofdzaak zal worden uitgevoerd</w:t>
      </w:r>
      <w:r>
        <w:rPr>
          <w:rStyle w:val="Voetnootmarkering"/>
        </w:rPr>
        <w:footnoteReference w:id="250"/>
      </w:r>
      <w:r>
        <w:t>. Een projectbesluit van een waterschap doorloopt daarom een aantal extra procedurestappen.</w:t>
      </w:r>
    </w:p>
    <w:p w14:paraId="71D33EFB" w14:textId="77777777" w:rsidR="00EC1A29" w:rsidRDefault="00EC1A29" w:rsidP="00EC1A29"/>
    <w:p w14:paraId="5024294E" w14:textId="77777777" w:rsidR="00EC1A29" w:rsidRDefault="00EC1A29" w:rsidP="00EC1A29">
      <w:r>
        <w:t>Omgevingswet, Omgevingsbesluit, Awb en Bekendmakingswet bevatten geen specifieke bepalingen over de volgorde van de bekendmaking van het projectbesluit van het waterschap, het door GS nemen van het besluit over de goedkeuring en de bekendmaking van dat besluit van GS. Het derde lid van artikel 6:8 Awb luidt: “</w:t>
      </w:r>
      <w:r w:rsidRPr="00311702">
        <w:t>De termijn voor het indienen van een beroepschrift tegen een besluit dat aan goedkeuring is onderworpen, vangt aan met ingang van de dag na die waarop het besluit, inhoudende de goedkeuring van dat besluit, op de voorgeschreven wijze is bekendgemaakt.</w:t>
      </w:r>
      <w:r>
        <w:t>” Hieruit zou je kunnen opmaken dat het de bedoeling is dat het waterschap het projectbesluit vaststelt en direct daarna bekendmaakt, het daarna ter goedkeuring aan GS stuurt, waarna GS hun besluit over</w:t>
      </w:r>
      <w:r w:rsidRPr="009E5030">
        <w:t xml:space="preserve"> de goedkeuring</w:t>
      </w:r>
      <w:r>
        <w:t xml:space="preserve"> nemen, dat bekendmaken door toezending aan het waterschap en dat de beroepstermijn de dag daarna begint. Vanuit het oogpunt van kenbaarheid voor het publiek van de inhoud van beide besluiten en van het feit dat tegen beide besluiten beroep kan worden ingesteld, lijkt dat een minder wenselijke werkwijze. Daarom is in dit toepassingsprofiel voor een praktische volgorde van goedkeuring en bekendmaking gekozen</w:t>
      </w:r>
      <w:r>
        <w:rPr>
          <w:rStyle w:val="Voetnootmarkering"/>
        </w:rPr>
        <w:footnoteReference w:id="251"/>
      </w:r>
      <w:r>
        <w:t>. Aanbevolen wordt om het proces van vaststellen, besluiten omtrent goedkeuring en bekendmaken als volgt te laten verlopen:</w:t>
      </w:r>
    </w:p>
    <w:p w14:paraId="16517493" w14:textId="77777777" w:rsidR="00EC1A29" w:rsidRDefault="00EC1A29" w:rsidP="00EC1A29">
      <w:pPr>
        <w:pStyle w:val="Opsommingtekens1"/>
      </w:pPr>
      <w:r>
        <w:t>Nadat het dagelijks bestuur van het waterschap het projectbesluit heeft vastgesteld, stuurt het het projectbesluit aan GS ter goedkeuring. (NB: het waterschap maakt het projectbesluit nu nog niet bekend.)</w:t>
      </w:r>
    </w:p>
    <w:p w14:paraId="5B1A0526" w14:textId="736BC2E0" w:rsidR="00914E8B" w:rsidRDefault="00EC1A29" w:rsidP="00EC1A29">
      <w:pPr>
        <w:pStyle w:val="Opsommingtekens1"/>
      </w:pPr>
      <w:r>
        <w:t xml:space="preserve">GS nemen een besluit over de goedkeuring. Zij moeten dat </w:t>
      </w:r>
      <w:r w:rsidRPr="0008093C">
        <w:t>binnen 13 weken</w:t>
      </w:r>
      <w:r>
        <w:t xml:space="preserve"> doen</w:t>
      </w:r>
      <w:r>
        <w:rPr>
          <w:rStyle w:val="Voetnootmarkering"/>
        </w:rPr>
        <w:footnoteReference w:id="252"/>
      </w:r>
      <w:r>
        <w:t>. Deze termijn kan niet verdaagd worden en niet tijdig beslissen leidt niet tot een p</w:t>
      </w:r>
      <w:r w:rsidRPr="00CE2D0C">
        <w:t>ositieve fictieve beschikking</w:t>
      </w:r>
      <w:r>
        <w:rPr>
          <w:rStyle w:val="Voetnootmarkering"/>
        </w:rPr>
        <w:footnoteReference w:id="253"/>
      </w:r>
      <w:r>
        <w:t>. Het besluit van GS kan inhouden dat zij het projectbesluit goedkeuren, gedeeltelijk goedkeuren of dat zij goedkeuring onthouden</w:t>
      </w:r>
      <w:r>
        <w:rPr>
          <w:rStyle w:val="Voetnootmarkering"/>
        </w:rPr>
        <w:footnoteReference w:id="254"/>
      </w:r>
      <w:r>
        <w:t xml:space="preserve">. </w:t>
      </w:r>
      <w:r w:rsidRPr="00822C6E">
        <w:t xml:space="preserve">Gedeeltelijke </w:t>
      </w:r>
      <w:r w:rsidRPr="00822C6E">
        <w:lastRenderedPageBreak/>
        <w:t xml:space="preserve">goedkeuring of onthouding van goedkeuring </w:t>
      </w:r>
      <w:r>
        <w:t>is alleen mogelijk als GS aan het waterschap de</w:t>
      </w:r>
      <w:r w:rsidRPr="00822C6E">
        <w:t xml:space="preserve"> gelegenheid </w:t>
      </w:r>
      <w:r>
        <w:t xml:space="preserve">tot overleg hebben </w:t>
      </w:r>
      <w:r w:rsidRPr="00822C6E">
        <w:t>geboden</w:t>
      </w:r>
      <w:r>
        <w:rPr>
          <w:rStyle w:val="Voetnootmarkering"/>
        </w:rPr>
        <w:footnoteReference w:id="255"/>
      </w:r>
      <w:r w:rsidRPr="00822C6E">
        <w:t>.</w:t>
      </w:r>
    </w:p>
    <w:p w14:paraId="5239D855" w14:textId="1044595A" w:rsidR="00EC1A29" w:rsidRDefault="00EC1A29" w:rsidP="00EC1A29">
      <w:pPr>
        <w:pStyle w:val="Opsommingtekens1"/>
      </w:pPr>
      <w:r>
        <w:t>GS maken hun besluit over</w:t>
      </w:r>
      <w:r w:rsidRPr="00257939">
        <w:t xml:space="preserve"> </w:t>
      </w:r>
      <w:r>
        <w:t>de goedkeuring bekend door het aan het waterschap toe te zenden</w:t>
      </w:r>
      <w:r>
        <w:rPr>
          <w:rStyle w:val="Voetnootmarkering"/>
        </w:rPr>
        <w:footnoteReference w:id="256"/>
      </w:r>
      <w:r>
        <w:t>. Bij de bekendmaking, dus in hun besluit, moeten GS melden dat tegen hun besluit beroep kan worden ingesteld; daar</w:t>
      </w:r>
      <w:r w:rsidRPr="00DE2EDE">
        <w:t xml:space="preserve">bij </w:t>
      </w:r>
      <w:r>
        <w:t xml:space="preserve">moeten GS </w:t>
      </w:r>
      <w:r w:rsidRPr="00DE2EDE">
        <w:t>vermeld</w:t>
      </w:r>
      <w:r>
        <w:t>en</w:t>
      </w:r>
      <w:r w:rsidRPr="00DE2EDE">
        <w:t xml:space="preserve"> </w:t>
      </w:r>
      <w:r>
        <w:t xml:space="preserve">door </w:t>
      </w:r>
      <w:r w:rsidRPr="00DE2EDE">
        <w:t xml:space="preserve">wie, binnen welke termijn en bij welk orgaan beroep kan </w:t>
      </w:r>
      <w:r>
        <w:t xml:space="preserve">worden </w:t>
      </w:r>
      <w:r w:rsidRPr="00DE2EDE">
        <w:t>in</w:t>
      </w:r>
      <w:r>
        <w:t>ge</w:t>
      </w:r>
      <w:r w:rsidRPr="00DE2EDE">
        <w:t>stel</w:t>
      </w:r>
      <w:r>
        <w:t>d</w:t>
      </w:r>
      <w:r>
        <w:rPr>
          <w:rStyle w:val="Voetnootmarkering"/>
        </w:rPr>
        <w:footnoteReference w:id="257"/>
      </w:r>
      <w:r>
        <w:t xml:space="preserve">. </w:t>
      </w:r>
      <w:r>
        <w:br/>
        <w:t>Het besluit van GS is niet met toepassing van afdeling 3.4 Awb voorbereid. GS hoeven hun besluit daarom niet ter inzage te leggen. Er geldt daarom ook geen wettelijke verplichting voor GS om kennis te geven van hun besluit, de terinzagelegging daarvan en de mogelijkheid om tegen dat besluit beroep in te stellen</w:t>
      </w:r>
      <w:r>
        <w:rPr>
          <w:rStyle w:val="Voetnootmarkering"/>
        </w:rPr>
        <w:footnoteReference w:id="258"/>
      </w:r>
      <w:r>
        <w:t xml:space="preserve">. </w:t>
      </w:r>
      <w:r w:rsidRPr="00837D26">
        <w:t>De rechtsgeldige bekendmaking van het goedkeuringsbesluit, die nodig is voor de inwerkingtreding van het goedkeuringsbesluit en tevens een vereiste is voor het in werking kunnen treden van het projectbesluit van het waterschap, vindt dus plaats door toezending en niet door publicatie of kennisgeving.</w:t>
      </w:r>
      <w:r>
        <w:t xml:space="preserve"> Ten behoeve van de openbare kenbaarheid wordt </w:t>
      </w:r>
      <w:r w:rsidRPr="00262A12">
        <w:t xml:space="preserve">in dit TPOD </w:t>
      </w:r>
      <w:r>
        <w:t xml:space="preserve">aanbevolen dat GS, </w:t>
      </w:r>
      <w:r w:rsidRPr="00554621">
        <w:t>na de toezending van het goedkeuringsbesluit aan het waterschap</w:t>
      </w:r>
      <w:r>
        <w:t xml:space="preserve"> en afgestemd met het moment waarop het waterschap het projectbesluit bekendmaakt</w:t>
      </w:r>
      <w:r w:rsidRPr="00554621">
        <w:t>, in het provinciaal blad kennis geven van het feit dat zij een besluit omtrent de goedkeuring van het projectbesluit hebben genomen, met een zakelijke weergave van de inhoud van het goedkeuringsbesluit, en van het feit dat tegen het goedkeuringsbesluit beroep kan worden ingesteld</w:t>
      </w:r>
      <w:r w:rsidR="00B671F5">
        <w:rPr>
          <w:rStyle w:val="Voetnootmarkering"/>
        </w:rPr>
        <w:footnoteReference w:id="259"/>
      </w:r>
      <w:r w:rsidRPr="00554621">
        <w:t>.</w:t>
      </w:r>
      <w:r>
        <w:t xml:space="preserve"> NB: Deze kennisgeving wordt niet met de STOP/TPOD-standaard opgesteld en niet aangeleverd aan de LVBB, maar via DROP.</w:t>
      </w:r>
      <w:r>
        <w:br/>
        <w:t>G</w:t>
      </w:r>
      <w:r w:rsidRPr="00802DA8">
        <w:t>oedkeuring</w:t>
      </w:r>
      <w:r>
        <w:t xml:space="preserve"> is</w:t>
      </w:r>
      <w:r w:rsidRPr="00802DA8">
        <w:t xml:space="preserve"> de voor de inwerkingtreding van een besluit van een bestuursorgaan vereiste toestemming van een ander bestuursorgaan</w:t>
      </w:r>
      <w:r>
        <w:rPr>
          <w:rStyle w:val="Voetnootmarkering"/>
        </w:rPr>
        <w:footnoteReference w:id="260"/>
      </w:r>
      <w:r w:rsidRPr="00802DA8">
        <w:t>.</w:t>
      </w:r>
      <w:r>
        <w:t xml:space="preserve"> Dat betekent dat wanneer GS aan het projectbesluit goedkeuring onthouden, het projectbesluit niet in werking treedt. Het projectbesluit wordt in dat geval niet bekend gemaakt. Er kan beroep worden ingesteld tegen het besluit van GS tot onthouding van goedkeuring aan het projectbesluit. Als die procedure leidt tot vernietiging van het besluit over de goedkeuring, dan moeten GS een nieuw besluit nemen. In het geval GS het projectbesluit dan geheel of gedeeltelijk goedkeuren, wordt de projectbesluitprocedure voortgezet met de hierna </w:t>
      </w:r>
      <w:r w:rsidRPr="00FD27CA">
        <w:t xml:space="preserve">beschreven </w:t>
      </w:r>
      <w:r>
        <w:t xml:space="preserve">stappen. Als er geen beroep wordt ingesteld </w:t>
      </w:r>
      <w:r w:rsidRPr="00E46A36">
        <w:t xml:space="preserve">tegen het besluit van GS tot onthouding van goedkeuring aan het projectbesluit </w:t>
      </w:r>
      <w:r>
        <w:t xml:space="preserve">wordt het besluit van GS onherroepelijk en eindigt de procedure; de </w:t>
      </w:r>
      <w:r w:rsidRPr="00FD27CA">
        <w:t xml:space="preserve">hierna </w:t>
      </w:r>
      <w:r>
        <w:t>beschreven</w:t>
      </w:r>
      <w:r w:rsidRPr="00FD27CA">
        <w:t xml:space="preserve"> stappen</w:t>
      </w:r>
      <w:r>
        <w:t xml:space="preserve"> worden dan niet uitgevoerd.</w:t>
      </w:r>
    </w:p>
    <w:p w14:paraId="102D1E15" w14:textId="3ABF21B8" w:rsidR="00EC1A29" w:rsidRDefault="00EC1A29" w:rsidP="00EC1A29">
      <w:pPr>
        <w:pStyle w:val="Opsommingtekens1"/>
      </w:pPr>
      <w:r>
        <w:t xml:space="preserve">Als GS het projectbesluit geheel of gedeeltelijk hebben goedgekeurd, maakt </w:t>
      </w:r>
      <w:r w:rsidRPr="003869B5">
        <w:t>het waterschap</w:t>
      </w:r>
      <w:r>
        <w:t xml:space="preserve"> </w:t>
      </w:r>
      <w:r w:rsidRPr="003869B5">
        <w:t>het projectbesluit</w:t>
      </w:r>
      <w:r>
        <w:t xml:space="preserve"> bekend </w:t>
      </w:r>
      <w:r w:rsidRPr="004C5FAA">
        <w:t xml:space="preserve">door plaatsing </w:t>
      </w:r>
      <w:r>
        <w:t>van het projectbesluit in het waterschapsblad</w:t>
      </w:r>
      <w:r>
        <w:rPr>
          <w:rStyle w:val="Voetnootmarkering"/>
        </w:rPr>
        <w:footnoteReference w:id="261"/>
      </w:r>
      <w:r>
        <w:t xml:space="preserve">. Bij </w:t>
      </w:r>
      <w:r w:rsidRPr="008E6D40">
        <w:t xml:space="preserve">de bekendmaking van het </w:t>
      </w:r>
      <w:r w:rsidRPr="009E7B50">
        <w:t xml:space="preserve">projectbesluit </w:t>
      </w:r>
      <w:r>
        <w:t xml:space="preserve">moet </w:t>
      </w:r>
      <w:r w:rsidRPr="008E6D40">
        <w:t>melding gemaakt</w:t>
      </w:r>
      <w:r>
        <w:t xml:space="preserve"> worden van het feit dat tegen het </w:t>
      </w:r>
      <w:r w:rsidRPr="00206A50">
        <w:t xml:space="preserve">projectbesluit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262"/>
      </w:r>
      <w:r w:rsidRPr="006B0115">
        <w:t>.</w:t>
      </w:r>
      <w:r>
        <w:t xml:space="preserve"> </w:t>
      </w:r>
      <w:r w:rsidR="00AC4732" w:rsidRPr="00C81D99">
        <w:t xml:space="preserve">Bij de bekendmaking van </w:t>
      </w:r>
      <w:r w:rsidR="00CA55A3">
        <w:t>het</w:t>
      </w:r>
      <w:r w:rsidR="00AC4732" w:rsidRPr="00C81D99">
        <w:t xml:space="preserve"> projectbesluit wordt de bijzondere regeling over het aanvoeren van gronden van het beroep, bedoeld in artikel 16.86</w:t>
      </w:r>
      <w:r w:rsidR="00AC4732">
        <w:t xml:space="preserve"> Ow</w:t>
      </w:r>
      <w:r w:rsidR="00AC4732" w:rsidRPr="00C81D99">
        <w:t>, vermeld</w:t>
      </w:r>
      <w:r w:rsidR="00AC4732">
        <w:rPr>
          <w:rStyle w:val="Voetnootmarkering"/>
        </w:rPr>
        <w:footnoteReference w:id="263"/>
      </w:r>
      <w:r w:rsidR="00AC4732" w:rsidRPr="00C81D99">
        <w:t>.</w:t>
      </w:r>
      <w:r w:rsidR="00AC4732">
        <w:t xml:space="preserve"> Vermeld moet dus worden dat bij het </w:t>
      </w:r>
      <w:r w:rsidR="00CA55A3">
        <w:t xml:space="preserve">instellen van </w:t>
      </w:r>
      <w:r w:rsidR="00AC4732">
        <w:t xml:space="preserve">beroep tegen </w:t>
      </w:r>
      <w:r w:rsidR="00CA55A3">
        <w:t>het</w:t>
      </w:r>
      <w:r w:rsidR="00AC4732">
        <w:t xml:space="preserve"> projectbesluit na afloop van de beroepstermijn geen beroepsgronden meer </w:t>
      </w:r>
      <w:r w:rsidR="00AC4732" w:rsidRPr="00B9103C">
        <w:t xml:space="preserve">kunnen </w:t>
      </w:r>
      <w:r w:rsidR="00AC4732">
        <w:lastRenderedPageBreak/>
        <w:t xml:space="preserve">worden aangevoerd en dat het beroep niet-ontvankelijk </w:t>
      </w:r>
      <w:r w:rsidR="00AC4732" w:rsidRPr="00B9103C">
        <w:t xml:space="preserve">wordt </w:t>
      </w:r>
      <w:r w:rsidR="00AC4732">
        <w:t>verklaard als de beroepsgronden niet in het beroepschrift zijn vermeld</w:t>
      </w:r>
      <w:r w:rsidR="00AC4732">
        <w:rPr>
          <w:rStyle w:val="Voetnootmarkering"/>
        </w:rPr>
        <w:footnoteReference w:id="264"/>
      </w:r>
      <w:r w:rsidR="00AC4732">
        <w:t>.</w:t>
      </w:r>
      <w:r w:rsidR="00206879">
        <w:t xml:space="preserve"> </w:t>
      </w:r>
      <w:r w:rsidRPr="00DF4545">
        <w:t xml:space="preserve">Vanuit het oogpunt van kenbaarheid voor het publiek van de inhoud van </w:t>
      </w:r>
      <w:r>
        <w:t xml:space="preserve">het besluit over de goedkeuring wordt in dit TPOD aanbevolen dat </w:t>
      </w:r>
      <w:r w:rsidRPr="00DF4545">
        <w:t xml:space="preserve">het waterschap het goedkeuringsbesluit als bijlage bij het projectbesluit </w:t>
      </w:r>
      <w:r>
        <w:t>voegt</w:t>
      </w:r>
      <w:r w:rsidR="00693BAD">
        <w:rPr>
          <w:rStyle w:val="Voetnootmarkering"/>
        </w:rPr>
        <w:footnoteReference w:id="265"/>
      </w:r>
      <w:r>
        <w:t>.</w:t>
      </w:r>
    </w:p>
    <w:p w14:paraId="2DE7C001" w14:textId="223E0150" w:rsidR="00EC1A29" w:rsidRDefault="00EC1A29" w:rsidP="00EC1A29">
      <w:pPr>
        <w:pStyle w:val="Opsommingtekens1"/>
      </w:pPr>
      <w:r>
        <w:t>Gelijktijdig met de bekendmaking (en voorafgaand aan de terinzagelegging) geeft het waterschap in het waterschapsblad kennis van de terinzagelegging van de op de zaak betrekking hebbende stukken</w:t>
      </w:r>
      <w:r>
        <w:rPr>
          <w:rStyle w:val="Voetnootmarkering"/>
        </w:rPr>
        <w:footnoteReference w:id="266"/>
      </w:r>
      <w:r>
        <w:t xml:space="preserve"> en van het feit dat tegen het projectbesluit beroep kan worden ingesteld, door wie, binnen welke termijn en bij welk orgaan</w:t>
      </w:r>
      <w:r>
        <w:rPr>
          <w:rStyle w:val="Voetnootmarkering"/>
        </w:rPr>
        <w:footnoteReference w:id="267"/>
      </w:r>
      <w:r>
        <w:t>. Vanuit het oogpunt van kenbaarheid voor het publiek van het feit dat ook tegen het besluit van GS omtrent goedkeuring beroep kan worden ingesteld, wordt in dit TPOD aanbevolen dat het waterschap in de kennisgeving ook vermeldt dat tegen dat besluit beroep kan worden ingesteld</w:t>
      </w:r>
      <w:r w:rsidR="001519FC">
        <w:rPr>
          <w:rStyle w:val="Voetnootmarkering"/>
        </w:rPr>
        <w:footnoteReference w:id="268"/>
      </w:r>
      <w:r>
        <w:t>.</w:t>
      </w:r>
    </w:p>
    <w:p w14:paraId="2EBDBEEE" w14:textId="08A8A003" w:rsidR="00EC1A29" w:rsidRDefault="00EC1A29" w:rsidP="00EC1A29">
      <w:pPr>
        <w:pStyle w:val="Opsommingtekens1"/>
      </w:pPr>
      <w:r>
        <w:t xml:space="preserve">Het waterschap legt </w:t>
      </w:r>
      <w:r w:rsidRPr="00A44E9D">
        <w:t xml:space="preserve">de op de zaak betrekking hebbende stukken </w:t>
      </w:r>
      <w:r>
        <w:t>ter inzage</w:t>
      </w:r>
      <w:r>
        <w:rPr>
          <w:rStyle w:val="Voetnootmarkering"/>
        </w:rPr>
        <w:footnoteReference w:id="269"/>
      </w:r>
      <w:r>
        <w:t xml:space="preserve">. De terinzagelegging geschiedt zowel op elektronische wijze als op een door </w:t>
      </w:r>
      <w:r w:rsidRPr="00CB765D">
        <w:t>provincie of Rijk</w:t>
      </w:r>
      <w:r>
        <w:t xml:space="preserve"> aan te wijzen locatie</w:t>
      </w:r>
      <w:r>
        <w:rPr>
          <w:rStyle w:val="Voetnootmarkering"/>
        </w:rPr>
        <w:footnoteReference w:id="270"/>
      </w:r>
      <w:r>
        <w:t xml:space="preserve">. De terinzagelegging vindt niet plaats in </w:t>
      </w:r>
      <w:r w:rsidRPr="00F0063E">
        <w:t xml:space="preserve">provinciaal blad </w:t>
      </w:r>
      <w:r>
        <w:t xml:space="preserve">of </w:t>
      </w:r>
      <w:r w:rsidRPr="00F0063E">
        <w:t>Staatscourant</w:t>
      </w:r>
      <w:r>
        <w:rPr>
          <w:rStyle w:val="Voetnootmarkering"/>
        </w:rPr>
        <w:footnoteReference w:id="271"/>
      </w:r>
      <w:r>
        <w:t xml:space="preserve">. </w:t>
      </w:r>
      <w:r w:rsidRPr="00D27D5E">
        <w:t xml:space="preserve">Dit betekent dat het </w:t>
      </w:r>
      <w:r>
        <w:t>waterschap</w:t>
      </w:r>
      <w:r w:rsidRPr="00D27D5E">
        <w:t xml:space="preserve"> moet zorgen voor de elektronische terinzagelegging van op de zaak betrekking hebbende stukken en voor de terinzagelegging van die stukken op een fysieke locatie</w:t>
      </w:r>
      <w:r>
        <w:t xml:space="preserve">. </w:t>
      </w:r>
      <w:r w:rsidRPr="000824D4">
        <w:t xml:space="preserve">Op </w:t>
      </w:r>
      <w:r>
        <w:t>de zaak</w:t>
      </w:r>
      <w:r w:rsidRPr="000824D4">
        <w:t xml:space="preserve"> betrekking hebbende stukken zullen vooral bestaan uit rapportages van uitgevoerde onderzoeken.</w:t>
      </w:r>
      <w:r>
        <w:t xml:space="preserve"> </w:t>
      </w:r>
      <w:r w:rsidR="002024E2" w:rsidRPr="002024E2">
        <w:t xml:space="preserve">De terinzagelegging op een door het waterschap te bepalen locatie kan worden georganiseerd door op een in de kennisgeving aangegeven locatie de mogelijkheid te bieden om op een beeldscherm de op de zaak betrekking hebbende stukken te raadplegen. Uiteraard is het ook mogelijk om alle stukken te printen en op een fysieke locatie klaar te leggen voor inzage. </w:t>
      </w:r>
      <w:r>
        <w:t xml:space="preserve">Het </w:t>
      </w:r>
      <w:r w:rsidR="00D46644">
        <w:t>project</w:t>
      </w:r>
      <w:r>
        <w:t>besluit zelf hoeft niet ter inzage gelegd te worden, dat moet immers bekendgemaakt worden in het publicatieblad</w:t>
      </w:r>
      <w:r>
        <w:rPr>
          <w:rStyle w:val="Voetnootmarkering"/>
        </w:rPr>
        <w:footnoteReference w:id="272"/>
      </w:r>
      <w:r>
        <w:t xml:space="preserve">. De </w:t>
      </w:r>
      <w:r w:rsidRPr="001A08CC">
        <w:t>stukken liggen ter inzage totdat de beroepstermijn is verstreken</w:t>
      </w:r>
      <w:r>
        <w:rPr>
          <w:rStyle w:val="Voetnootmarkering"/>
        </w:rPr>
        <w:footnoteReference w:id="273"/>
      </w:r>
      <w:r w:rsidRPr="00822ACB">
        <w:t>.</w:t>
      </w:r>
    </w:p>
    <w:p w14:paraId="40527EC3" w14:textId="05435602" w:rsidR="00EC1A29" w:rsidRDefault="00CE7C34" w:rsidP="00EC1A29">
      <w:pPr>
        <w:pStyle w:val="Opsommingtekens1"/>
      </w:pPr>
      <w:r w:rsidRPr="005D1B54">
        <w:t xml:space="preserve">Tegelijkertijd met of zo spoedig mogelijk na de bekendmaking </w:t>
      </w:r>
      <w:r>
        <w:t xml:space="preserve">moet het waterschap </w:t>
      </w:r>
      <w:r w:rsidRPr="005D1B54">
        <w:t xml:space="preserve">van het besluit mededeling </w:t>
      </w:r>
      <w:r>
        <w:t>doen</w:t>
      </w:r>
      <w:r w:rsidRPr="005D1B54">
        <w:t xml:space="preserve"> aan degenen die bij de voorbereiding ervan hun zienswijze naar voren hebben gebracht</w:t>
      </w:r>
      <w:r>
        <w:rPr>
          <w:rStyle w:val="Voetnootmarkering"/>
        </w:rPr>
        <w:footnoteReference w:id="274"/>
      </w:r>
      <w:r w:rsidRPr="005D1B54">
        <w:t>.</w:t>
      </w:r>
      <w:r>
        <w:t xml:space="preserve"> Aan hen moet </w:t>
      </w:r>
      <w:r w:rsidR="00D46644">
        <w:t xml:space="preserve">het waterschap </w:t>
      </w:r>
      <w:r>
        <w:t>een exemplaar van het besluit toez</w:t>
      </w:r>
      <w:r w:rsidR="00D46644">
        <w:t>e</w:t>
      </w:r>
      <w:r>
        <w:t>nden</w:t>
      </w:r>
      <w:r>
        <w:rPr>
          <w:rStyle w:val="Voetnootmarkering"/>
        </w:rPr>
        <w:footnoteReference w:id="275"/>
      </w:r>
      <w:r>
        <w:t>.</w:t>
      </w:r>
    </w:p>
    <w:p w14:paraId="37D5D190" w14:textId="77777777" w:rsidR="00EC1A29" w:rsidRDefault="00EC1A29" w:rsidP="00EC1A29"/>
    <w:p w14:paraId="20D5492C" w14:textId="77777777" w:rsidR="00EC1A29" w:rsidRDefault="00EC1A29" w:rsidP="00EC1A29">
      <w:r w:rsidRPr="00986894">
        <w:t>De termijn</w:t>
      </w:r>
      <w:r>
        <w:t>en</w:t>
      </w:r>
      <w:r w:rsidRPr="00986894">
        <w:t xml:space="preserve"> voor het indienen van een beroepschrift tegen een </w:t>
      </w:r>
      <w:r>
        <w:t>project</w:t>
      </w:r>
      <w:r w:rsidRPr="00986894">
        <w:t xml:space="preserve">besluit </w:t>
      </w:r>
      <w:r>
        <w:t>van het waterschap</w:t>
      </w:r>
      <w:r w:rsidRPr="00986894">
        <w:t xml:space="preserve"> </w:t>
      </w:r>
      <w:r>
        <w:t xml:space="preserve">én tegen </w:t>
      </w:r>
      <w:r w:rsidRPr="00A20FC0">
        <w:t xml:space="preserve">het GS-besluit over de goedkeuring van het projectbesluit </w:t>
      </w:r>
      <w:r>
        <w:t xml:space="preserve">beginnen op </w:t>
      </w:r>
      <w:r w:rsidRPr="00986894">
        <w:t xml:space="preserve">de dag na die waarop het </w:t>
      </w:r>
      <w:r>
        <w:t>GS-</w:t>
      </w:r>
      <w:r w:rsidRPr="00986894">
        <w:t xml:space="preserve">besluit </w:t>
      </w:r>
      <w:r>
        <w:t xml:space="preserve">over </w:t>
      </w:r>
      <w:r w:rsidRPr="00986894">
        <w:t xml:space="preserve">de goedkeuring van </w:t>
      </w:r>
      <w:r>
        <w:t>het project</w:t>
      </w:r>
      <w:r w:rsidRPr="00986894">
        <w:t>besluit op de voorgeschreven wijze is bekendgemaakt</w:t>
      </w:r>
      <w:r>
        <w:t xml:space="preserve">. Zoals gezegd wordt het besluit over de goedkeuring bekend gemaakt door toezending van dat besluit door GS aan het waterschap. </w:t>
      </w:r>
      <w:r>
        <w:lastRenderedPageBreak/>
        <w:t>Daarom wordt aanbevolen dat GS en waterschap dit goed op elkaar afstemmen, zodat het waterschap direct na ontvangst van het besluit van GS het projectbesluit én de bijbehorende kennisgeving kan aanleveren. Dat zorgt er voor dat maar gedurende een beperkte periode van de beroepstermijn projectbesluit en goedkeuringsbesluit nog niet te raadplegen zijn.</w:t>
      </w:r>
    </w:p>
    <w:p w14:paraId="3164D7E1" w14:textId="77777777" w:rsidR="00EC1A29" w:rsidRDefault="00EC1A29" w:rsidP="00EC1A29"/>
    <w:p w14:paraId="04BAA3BD" w14:textId="77777777" w:rsidR="00EC1A29" w:rsidRDefault="00EC1A29" w:rsidP="00EC1A29">
      <w:r w:rsidRPr="00C75127">
        <w:t>Omgevingswet, Omgevingsbesluit, Awb en Bekendmakingswet</w:t>
      </w:r>
      <w:r>
        <w:t xml:space="preserve"> bepalen niet wat er met het projectbesluit moet gebeuren als GS </w:t>
      </w:r>
      <w:r w:rsidRPr="00A94580">
        <w:t>het projectbesluit</w:t>
      </w:r>
      <w:r>
        <w:t xml:space="preserve"> gedeeltelijk goedkeuren. Daarom, en omdat de mogelijkheid bestaat dat de Afdeling bestuursrechtspraak van de Raad van State het besluit van GS over de goedkeuring geheel of gedeeltelijk vernietigt, </w:t>
      </w:r>
      <w:r w:rsidRPr="009C305F">
        <w:t xml:space="preserve">wordt in dit TPOD aanbevolen </w:t>
      </w:r>
      <w:r>
        <w:t>dat als GS het projectbesluit gedeeltelijk goedkeuren, het waterschap het projectbesluit integraal, zoals het is vastgesteld, bekend maakt. Het waterschap verwijdert in deze fase dus niet de niet-goedgekeurde onderdelen uit het projectbesluit.</w:t>
      </w:r>
    </w:p>
    <w:p w14:paraId="07284AB4" w14:textId="77777777" w:rsidR="00EC1A29" w:rsidRDefault="00EC1A29" w:rsidP="00EC1A29"/>
    <w:p w14:paraId="2FC681FB" w14:textId="486AEE03" w:rsidR="00EC1A29" w:rsidRDefault="00EC1A29" w:rsidP="00EC1A29">
      <w:r>
        <w:t xml:space="preserve">Voor een </w:t>
      </w:r>
      <w:r w:rsidRPr="009E7B50">
        <w:t xml:space="preserve">projectbesluit </w:t>
      </w:r>
      <w:r>
        <w:t>van het waterschap geldt uiteraard ook dat het</w:t>
      </w:r>
      <w:r w:rsidRPr="009E7B50">
        <w:t xml:space="preserve"> </w:t>
      </w:r>
      <w:r w:rsidRPr="001975FA">
        <w:t>dient te berusten op een deugdelijke motivering</w:t>
      </w:r>
      <w:r>
        <w:t xml:space="preserve">, die moet worden </w:t>
      </w:r>
      <w:r w:rsidRPr="00112897">
        <w:t xml:space="preserve">vermeld bij de bekendmaking van het </w:t>
      </w:r>
      <w:r>
        <w:t>project</w:t>
      </w:r>
      <w:r w:rsidRPr="00112897">
        <w:t>besluit</w:t>
      </w:r>
      <w:r>
        <w:rPr>
          <w:rStyle w:val="Voetnootmarkering"/>
        </w:rPr>
        <w:footnoteReference w:id="276"/>
      </w:r>
      <w:r w:rsidRPr="001975FA">
        <w:t>.</w:t>
      </w:r>
      <w:r>
        <w:t xml:space="preserve"> Ook voor dit projectbesluit geldt dat uit het systeem van de wet voort</w:t>
      </w:r>
      <w:r w:rsidRPr="00F51E03">
        <w:t>vloeit</w:t>
      </w:r>
      <w:r>
        <w:t xml:space="preserve"> dat het</w:t>
      </w:r>
      <w:r w:rsidRPr="00D5622B">
        <w:t xml:space="preserve"> niet eerder mag worden bekendgemaakt dan de dag waarop de Omgevingswet in werking treedt. De voorbereiding van het </w:t>
      </w:r>
      <w:r>
        <w:t>project</w:t>
      </w:r>
      <w:r w:rsidRPr="00D5622B">
        <w:t>besluit, inclusief de vaststelling, kan wel voor inwerkingtreden van de Omgevingswet plaatsvinden.</w:t>
      </w:r>
    </w:p>
    <w:p w14:paraId="6D754290" w14:textId="77777777" w:rsidR="00EC1A29" w:rsidRDefault="00EC1A29" w:rsidP="00EC1A29">
      <w:pPr>
        <w:pStyle w:val="Kop6"/>
      </w:pPr>
      <w:bookmarkStart w:id="905" w:name="_Ref_235de80b63f402fa5c1b8456b222e5cb_4"/>
      <w:r>
        <w:t>Beroep</w:t>
      </w:r>
      <w:bookmarkEnd w:id="905"/>
    </w:p>
    <w:p w14:paraId="468779FC" w14:textId="08E9F412" w:rsidR="00EC1A29" w:rsidRDefault="00EC1A29" w:rsidP="00EC1A29">
      <w:r>
        <w:t>Tegen het projectbesluit kan rechtstreeks beroep bij de Afdeling bestuursrechtspraak van de Raad van State worden ingesteld</w:t>
      </w:r>
      <w:r w:rsidRPr="004F7799">
        <w:t>; datzelfde geldt voor het besluit van GS omtrent goedkeuring van een projectbesluit van het waterschap</w:t>
      </w:r>
      <w:r>
        <w:rPr>
          <w:rStyle w:val="Voetnootmarkering"/>
        </w:rPr>
        <w:footnoteReference w:id="277"/>
      </w:r>
      <w:r>
        <w:t xml:space="preserve"> (zie voor de beroepsfase verder paragraaf </w:t>
      </w:r>
      <w:r w:rsidR="00B72B44">
        <w:fldChar w:fldCharType="begin"/>
      </w:r>
      <w:r w:rsidR="00B72B44">
        <w:instrText xml:space="preserve"> REF _Ref_4fb2adae78b0658809a49eb52b18b178_2 \n \h </w:instrText>
      </w:r>
      <w:r w:rsidR="00B72B44">
        <w:fldChar w:fldCharType="separate"/>
      </w:r>
      <w:r w:rsidR="00B549AC">
        <w:t>10.8.6</w:t>
      </w:r>
      <w:r w:rsidR="00B72B44">
        <w:fldChar w:fldCharType="end"/>
      </w:r>
      <w:r>
        <w:t xml:space="preserve">). </w:t>
      </w:r>
      <w:r w:rsidRPr="00DA45EA">
        <w:t>De termijn voor het indienen van een beroepschrift bedraagt zes weken</w:t>
      </w:r>
      <w:r>
        <w:rPr>
          <w:rStyle w:val="Voetnootmarkering"/>
        </w:rPr>
        <w:footnoteReference w:id="278"/>
      </w:r>
      <w:r w:rsidRPr="00DA45EA">
        <w:t>.</w:t>
      </w:r>
      <w:r>
        <w:t xml:space="preserve"> </w:t>
      </w:r>
      <w:r w:rsidRPr="00015D0D">
        <w:t>D</w:t>
      </w:r>
      <w:r>
        <w:t>i</w:t>
      </w:r>
      <w:r w:rsidRPr="00015D0D">
        <w:t xml:space="preserve">e termijn </w:t>
      </w:r>
      <w:r>
        <w:t xml:space="preserve">begint in het geval van een projectbesluit van provincie of Rijk op </w:t>
      </w:r>
      <w:r w:rsidRPr="00015D0D">
        <w:t xml:space="preserve">de dag na die waarop het </w:t>
      </w:r>
      <w:r>
        <w:t>project</w:t>
      </w:r>
      <w:r w:rsidRPr="00015D0D">
        <w:t>besluit is bekendgemaakt</w:t>
      </w:r>
      <w:r>
        <w:rPr>
          <w:rStyle w:val="Voetnootmarkering"/>
        </w:rPr>
        <w:footnoteReference w:id="279"/>
      </w:r>
      <w:r>
        <w:t xml:space="preserve">. Bij een </w:t>
      </w:r>
      <w:r w:rsidRPr="007A792A">
        <w:t>projectbesluit van het waterschap</w:t>
      </w:r>
      <w:r>
        <w:t xml:space="preserve"> begint de beroepstermijn op</w:t>
      </w:r>
      <w:r w:rsidRPr="001E6D8C">
        <w:t xml:space="preserve"> de dag na die waarop het besluit</w:t>
      </w:r>
      <w:r>
        <w:t xml:space="preserve"> van GS</w:t>
      </w:r>
      <w:r w:rsidRPr="001E6D8C">
        <w:t xml:space="preserve"> </w:t>
      </w:r>
      <w:r>
        <w:t xml:space="preserve">omtrent </w:t>
      </w:r>
      <w:r w:rsidRPr="001E6D8C">
        <w:t xml:space="preserve">de goedkeuring van </w:t>
      </w:r>
      <w:r>
        <w:t>het project</w:t>
      </w:r>
      <w:r w:rsidRPr="001E6D8C">
        <w:t>besluit is bekendgemaakt</w:t>
      </w:r>
      <w:r>
        <w:rPr>
          <w:rStyle w:val="Voetnootmarkering"/>
        </w:rPr>
        <w:footnoteReference w:id="280"/>
      </w:r>
      <w:r>
        <w:t xml:space="preserve">, maar zie hiervoor ook de aanbeveling voor de volgorde in het proces van </w:t>
      </w:r>
      <w:r w:rsidRPr="00396470">
        <w:t>vaststellen, besluiten omtrent goedkeuring en bekendmaken</w:t>
      </w:r>
      <w:r>
        <w:t xml:space="preserve"> van het projectbesluit van het waterschap dat in de vorige paragraaf is beschreven</w:t>
      </w:r>
      <w:r w:rsidRPr="001E6D8C">
        <w:t>.</w:t>
      </w:r>
    </w:p>
    <w:p w14:paraId="5048B69A" w14:textId="3A992722" w:rsidR="002E6631" w:rsidRDefault="004B15DF" w:rsidP="00EC1A29">
      <w:r w:rsidRPr="004B15DF">
        <w:t xml:space="preserve">Bij het </w:t>
      </w:r>
      <w:r w:rsidR="00990FC3">
        <w:t xml:space="preserve">instellen van </w:t>
      </w:r>
      <w:r w:rsidRPr="004B15DF">
        <w:t xml:space="preserve">beroep tegen </w:t>
      </w:r>
      <w:r w:rsidR="00990FC3">
        <w:t>een</w:t>
      </w:r>
      <w:r w:rsidRPr="004B15DF">
        <w:t xml:space="preserve"> projectbesluit kunnen na afloop van de </w:t>
      </w:r>
      <w:r w:rsidR="00990FC3">
        <w:t>beroeps</w:t>
      </w:r>
      <w:r w:rsidRPr="004B15DF">
        <w:t xml:space="preserve">termijn </w:t>
      </w:r>
      <w:r w:rsidR="00990FC3">
        <w:t>geen beroepsgronden me</w:t>
      </w:r>
      <w:r w:rsidR="00EE1D3A">
        <w:t>er worden aangevoerd</w:t>
      </w:r>
      <w:r>
        <w:rPr>
          <w:rStyle w:val="Voetnootmarkering"/>
        </w:rPr>
        <w:footnoteReference w:id="281"/>
      </w:r>
      <w:r w:rsidRPr="004B15DF">
        <w:t>.</w:t>
      </w:r>
      <w:r>
        <w:t xml:space="preserve"> </w:t>
      </w:r>
      <w:r w:rsidR="00EE1D3A">
        <w:t>H</w:t>
      </w:r>
      <w:r w:rsidR="00A765A9" w:rsidRPr="00A765A9">
        <w:t xml:space="preserve">et beroep tegen een projectbesluit </w:t>
      </w:r>
      <w:r w:rsidR="00EE1D3A">
        <w:t xml:space="preserve">wordt </w:t>
      </w:r>
      <w:r w:rsidR="00A765A9" w:rsidRPr="00A765A9">
        <w:t xml:space="preserve">niet-ontvankelijk verklaard als </w:t>
      </w:r>
      <w:r w:rsidR="00044C1A">
        <w:t>de beroepsgronden niet in het beroepschrift zijn vermeld</w:t>
      </w:r>
      <w:r w:rsidR="00A765A9" w:rsidRPr="00A765A9">
        <w:t xml:space="preserve">, tenzij </w:t>
      </w:r>
      <w:r w:rsidR="00044C1A">
        <w:t xml:space="preserve">dat </w:t>
      </w:r>
      <w:r w:rsidR="00A765A9" w:rsidRPr="00A765A9">
        <w:t xml:space="preserve">bij de bekendmaking van het besluit niet is </w:t>
      </w:r>
      <w:r w:rsidR="00044C1A">
        <w:t>vermeld</w:t>
      </w:r>
      <w:r w:rsidR="00A765A9" w:rsidRPr="00A765A9">
        <w:t xml:space="preserve"> en redelijkerwijs niet kan worden geoordeeld dat de indiener van het beroepschrift in verzuim is geweest</w:t>
      </w:r>
      <w:r w:rsidR="00A765A9">
        <w:rPr>
          <w:rStyle w:val="Voetnootmarkering"/>
        </w:rPr>
        <w:footnoteReference w:id="282"/>
      </w:r>
      <w:r w:rsidR="00A765A9" w:rsidRPr="00A765A9">
        <w:t>.</w:t>
      </w:r>
    </w:p>
    <w:p w14:paraId="565F9322" w14:textId="77777777" w:rsidR="00EC1A29" w:rsidRDefault="00EC1A29" w:rsidP="00EC1A29">
      <w:pPr>
        <w:pStyle w:val="Kop6"/>
      </w:pPr>
      <w:r>
        <w:t>Inwerkingtreding</w:t>
      </w:r>
    </w:p>
    <w:p w14:paraId="2B9C7058" w14:textId="15BBCFC2" w:rsidR="00EC1A29" w:rsidRDefault="00EC1A29" w:rsidP="00EC1A29">
      <w:r w:rsidRPr="00607911">
        <w:t xml:space="preserve">Een </w:t>
      </w:r>
      <w:r>
        <w:t xml:space="preserve">projectbesluit van </w:t>
      </w:r>
      <w:r w:rsidRPr="00723974">
        <w:t xml:space="preserve">provincie </w:t>
      </w:r>
      <w:r>
        <w:t xml:space="preserve">of Rijk </w:t>
      </w:r>
      <w:r w:rsidRPr="00607911">
        <w:t>treedt in werking met ingang van de dag waarop vier weken zijn verstreken sinds de dag waarop het besluit bekend is gemaakt</w:t>
      </w:r>
      <w:r>
        <w:t xml:space="preserve">. Als dat </w:t>
      </w:r>
      <w:r w:rsidRPr="000279AF">
        <w:t xml:space="preserve">vanwege </w:t>
      </w:r>
      <w:r w:rsidRPr="000279AF">
        <w:lastRenderedPageBreak/>
        <w:t>spoedeisende omstandigheden nodig is, kan het bevoegd gezag bepalen dat het projectbesluit eerder in werking treedt</w:t>
      </w:r>
      <w:r>
        <w:rPr>
          <w:rStyle w:val="Voetnootmarkering"/>
        </w:rPr>
        <w:footnoteReference w:id="283"/>
      </w:r>
      <w:r w:rsidRPr="00607911">
        <w:t>.</w:t>
      </w:r>
      <w:r>
        <w:t xml:space="preserve"> </w:t>
      </w:r>
      <w:r w:rsidRPr="00362DAF">
        <w:t xml:space="preserve">Een projectbesluit van </w:t>
      </w:r>
      <w:r>
        <w:t xml:space="preserve">het waterschap </w:t>
      </w:r>
      <w:r w:rsidRPr="00362DAF">
        <w:t xml:space="preserve">treedt in werking </w:t>
      </w:r>
      <w:r w:rsidRPr="00187385">
        <w:t>met ingang van de dag waarop vier weken zijn verstreken sinds de dag waarop het besluit over goedkeuring is bekendgemaakt</w:t>
      </w:r>
      <w:r w:rsidR="002445BE">
        <w:rPr>
          <w:rStyle w:val="Voetnootmarkering"/>
        </w:rPr>
        <w:footnoteReference w:id="284"/>
      </w:r>
      <w:r w:rsidRPr="00362DAF">
        <w:t>.</w:t>
      </w:r>
      <w:r w:rsidR="003327E9">
        <w:t xml:space="preserve"> </w:t>
      </w:r>
      <w:r w:rsidR="003327E9" w:rsidRPr="003327E9">
        <w:t>Uit het systeem van de wet vloeit voort dat wanneer GS aan het projectbesluit goedkeuring onthouden, het projectbesluit niet in werking treedt. Het projectbesluit wordt in dat geval niet bekend gemaakt.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