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EB683" w14:textId="77777777" w:rsidR="00EC1A29" w:rsidRDefault="00EC1A29" w:rsidP="00EC1A29">
      <w:pPr>
        <w:pStyle w:val="Kop5"/>
      </w:pPr>
      <w:r>
        <w:t>Voorbereiding</w:t>
      </w:r>
      <w:r>
        <w:t xml:space="preserve"> en besluitvorming</w:t>
      </w:r>
    </w:p>
    <w:p w14:paraId="1CFC9190" w14:textId="6231D21B" w:rsidR="00EC1A29" w:rsidRDefault="00EC1A29" w:rsidP="00EC1A29">
      <w:r>
        <w:t xml:space="preserve">Na de publicatie van het ontwerpbesluit en voorafgaand aan de bekendmaking van het definitieve besluit vindt een extern en intern proces plaats. Er worden zienswijzen ingediend over het ontwerpbesluit, die zienswijzen worden beantwoord en wanneer er naar aanleiding van die zienswijzen aanpassingen in het projectbesluit nodig zijn, </w:t>
      </w:r>
      <w:r w:rsidR="00F13665">
        <w:t xml:space="preserve">verwerkt waterschap, provincie of Rijk </w:t>
      </w:r>
      <w:r>
        <w:t xml:space="preserve">die in de plansoftware. </w:t>
      </w:r>
      <w:r w:rsidRPr="00AA5A7E">
        <w:t>Als het projectbesluit een of meer omgevingsplannen wijzigt,</w:t>
      </w:r>
      <w:r>
        <w:t xml:space="preserve"> wordt in deze fase de beschrijving van </w:t>
      </w:r>
      <w:r w:rsidRPr="007F14A7">
        <w:t>de wijzigingen die het projectbesluit in die omgevingsplannen aanbrengt</w:t>
      </w:r>
      <w:r>
        <w:t xml:space="preserve"> uit het </w:t>
      </w:r>
      <w:r w:rsidRPr="00EE6309">
        <w:t>vrijetekstgedeelte</w:t>
      </w:r>
      <w:r>
        <w:t xml:space="preserve"> (waar deze in de </w:t>
      </w:r>
      <w:r w:rsidRPr="00EE6309">
        <w:t xml:space="preserve">ontwerpversie van </w:t>
      </w:r>
      <w:r>
        <w:t>het</w:t>
      </w:r>
      <w:r w:rsidRPr="00EE6309">
        <w:t xml:space="preserve"> projectbesluit</w:t>
      </w:r>
      <w:r>
        <w:t xml:space="preserve"> stond, zie daarvoor paragraaf </w:t>
      </w:r>
      <w:r>
        <w:fldChar w:fldCharType="begin" w:fldLock="1"/>
      </w:r>
      <w:r>
        <w:instrText xml:space="preserve"> REF _Ref_c95cec67bb71823443aa8a81a94e683f_1 \n \h </w:instrText>
      </w:r>
      <w:r>
        <w:fldChar w:fldCharType="separate"/>
      </w:r>
      <w:r w:rsidRPr="00DF3BF8">
        <w:rPr>
          <w:rStyle w:val="Verwijzing"/>
        </w:rPr>
        <w:t>10.6.3.2</w:t>
      </w:r>
      <w:r>
        <w:fldChar w:fldCharType="end"/>
      </w:r>
      <w:r>
        <w:t>) over- en omgezet naar een of meer tijdelijk regelingdelen. P</w:t>
      </w:r>
      <w:r w:rsidRPr="0016466E">
        <w:t xml:space="preserve">er omgevingsplan dat door het projectbesluit wordt gewijzigd </w:t>
      </w:r>
      <w:r>
        <w:t>is er éé</w:t>
      </w:r>
      <w:r w:rsidRPr="0016466E">
        <w:t xml:space="preserve">n tijdelijk regelingdeel </w:t>
      </w:r>
      <w:r>
        <w:t>(</w:t>
      </w:r>
      <w:r w:rsidRPr="0016466E">
        <w:t>conform model RegelingTijdelijkdeel</w:t>
      </w:r>
      <w:r>
        <w:t>)</w:t>
      </w:r>
      <w:r w:rsidRPr="0016466E">
        <w:t xml:space="preserve"> met daarin de regels waarmee het projectbesluit het betreffende omgevingsplan wijzigt</w:t>
      </w:r>
      <w:r>
        <w:t>.</w:t>
      </w:r>
    </w:p>
    <w:p w14:paraId="20691037" w14:textId="77777777" w:rsidR="00EC1A29" w:rsidRDefault="00EC1A29" w:rsidP="00EC1A29"/>
    <w:p w14:paraId="799FCBB8" w14:textId="5E2EBB77" w:rsidR="00EC1A29" w:rsidRDefault="00EC1A29" w:rsidP="00EC1A29">
      <w:r>
        <w:t>Bij de bekendmaking</w:t>
      </w:r>
      <w:r w:rsidRPr="0033131B">
        <w:t>, dus in het Besluit,</w:t>
      </w:r>
      <w:r>
        <w:t xml:space="preserve"> moet </w:t>
      </w:r>
      <w:r w:rsidR="00B006A9" w:rsidRPr="00B006A9">
        <w:t xml:space="preserve">waterschap, provincie of Rijk </w:t>
      </w:r>
      <w:r>
        <w:t>vermeld</w:t>
      </w:r>
      <w:r w:rsidR="00B006A9">
        <w:t>en</w:t>
      </w:r>
      <w:r>
        <w:t xml:space="preserve"> </w:t>
      </w:r>
      <w:r w:rsidRPr="00761033">
        <w:t>dat tegen het besluit beroep kan worden ingesteld</w:t>
      </w:r>
      <w:r>
        <w:t xml:space="preserve"> en</w:t>
      </w:r>
      <w:r w:rsidRPr="00761033">
        <w:t xml:space="preserve"> door wie, binnen welke termijn en bij welk orgaan </w:t>
      </w:r>
      <w:r>
        <w:t xml:space="preserve">dat </w:t>
      </w:r>
      <w:r w:rsidRPr="00761033">
        <w:t>beroep kan worden ingesteld</w:t>
      </w:r>
      <w:r>
        <w:t xml:space="preserve">. </w:t>
      </w:r>
      <w:r w:rsidR="0067552F">
        <w:t>W</w:t>
      </w:r>
      <w:r w:rsidR="0067552F" w:rsidRPr="0067552F">
        <w:t xml:space="preserve">aterschap, provincie of Rijk </w:t>
      </w:r>
      <w:r w:rsidR="0067552F">
        <w:t xml:space="preserve">moet ook </w:t>
      </w:r>
      <w:r w:rsidR="0067552F" w:rsidRPr="0067552F">
        <w:t xml:space="preserve">vermelden </w:t>
      </w:r>
      <w:r w:rsidR="0067552F">
        <w:t>dat b</w:t>
      </w:r>
      <w:r w:rsidR="00FB3292" w:rsidRPr="00FB3292">
        <w:t xml:space="preserve">ij het instellen van beroep na afloop van de beroepstermijn geen beroepsgronden meer </w:t>
      </w:r>
      <w:r w:rsidR="0067552F">
        <w:t xml:space="preserve">kunnen </w:t>
      </w:r>
      <w:r w:rsidR="00FB3292" w:rsidRPr="00FB3292">
        <w:t>worden aangevoerd</w:t>
      </w:r>
      <w:r w:rsidR="001472F4">
        <w:t xml:space="preserve"> en dat h</w:t>
      </w:r>
      <w:r w:rsidR="00FB3292" w:rsidRPr="00FB3292">
        <w:t xml:space="preserve">et beroep niet-ontvankelijk </w:t>
      </w:r>
      <w:r w:rsidR="001472F4" w:rsidRPr="001472F4">
        <w:t xml:space="preserve">wordt </w:t>
      </w:r>
      <w:r w:rsidR="00FB3292" w:rsidRPr="00FB3292">
        <w:t>verklaard als de beroepsgronden niet in het beroepschrift zijn vermeld.</w:t>
      </w:r>
      <w:r w:rsidR="001472F4">
        <w:t xml:space="preserve"> </w:t>
      </w:r>
      <w:r>
        <w:t xml:space="preserve">Zoals in paragraaf </w:t>
      </w:r>
      <w:r>
        <w:rPr>
          <w:rStyle w:val="Verwijzing"/>
        </w:rPr>
        <w:fldChar w:fldCharType="begin" w:fldLock="1"/>
      </w:r>
      <w:r>
        <w:instrText xml:space="preserve"> REF _Ref_e3331a48c14e528da0f788a3f4f5e391_1 \n \h </w:instrText>
      </w:r>
      <w:r>
        <w:rPr>
          <w:rStyle w:val="Verwijzing"/>
        </w:rPr>
      </w:r>
      <w:r>
        <w:rPr>
          <w:rStyle w:val="Verwijzing"/>
        </w:rPr>
        <w:fldChar w:fldCharType="separate"/>
      </w:r>
      <w:r w:rsidRPr="00DF3BF8">
        <w:rPr>
          <w:rStyle w:val="Verwijzing"/>
        </w:rPr>
        <w:t>4.3.2.2</w:t>
      </w:r>
      <w:r>
        <w:rPr>
          <w:rStyle w:val="Verwijzing"/>
        </w:rPr>
        <w:fldChar w:fldCharType="end"/>
      </w:r>
      <w:r>
        <w:t xml:space="preserve"> al </w:t>
      </w:r>
      <w:r w:rsidRPr="00724663">
        <w:t xml:space="preserve">is </w:t>
      </w:r>
      <w:r>
        <w:t xml:space="preserve">aangegeven is de juiste plaats daarvoor het onderdeel Sluiting van het Besluit. Geadviseerd wordt om in het besluit de vermelding van de termijn waarbinnen beroep kan worden ingesteld globaal te houden (bij voorbeeld: “Beroep kan worden ingesteld binnen zes weken na de dag van bekendmaking”) en de exacte data alleen te noemen in de in paragraaf </w:t>
      </w:r>
      <w:r>
        <w:fldChar w:fldCharType="begin" w:fldLock="1"/>
      </w:r>
      <w:r>
        <w:instrText xml:space="preserve"> REF _Ref_7130904ca043aa2f2fc84a0f67ae0c9f_1 \n \h </w:instrText>
      </w:r>
      <w:r>
        <w:fldChar w:fldCharType="separate"/>
      </w:r>
      <w:r w:rsidRPr="00DF3BF8">
        <w:rPr>
          <w:rStyle w:val="Verwijzing"/>
        </w:rPr>
        <w:t>10.6.4.4</w:t>
      </w:r>
      <w:r>
        <w:fldChar w:fldCharType="end"/>
      </w:r>
      <w:r>
        <w:t xml:space="preserve"> te bespreken kennisgeving. </w:t>
      </w:r>
      <w:r w:rsidRPr="000555AA">
        <w:t>De reden voor dit advies is dat de voorbereiding van het besluit doorgaans al zal starten op een moment dat nog niet zeker is wanneer het besluit zal worden genomen en bekendgemaakt.</w:t>
      </w:r>
    </w:p>
    <w:p w14:paraId="02574576" w14:textId="79F7E145" w:rsidR="00EC1A29" w:rsidRDefault="00EC1A29" w:rsidP="00EC1A29">
      <w:r>
        <w:t xml:space="preserve">Hierna </w:t>
      </w:r>
      <w:r w:rsidR="00434AB6">
        <w:t xml:space="preserve">maakt de ambtelijke organisatie van </w:t>
      </w:r>
      <w:r w:rsidR="00434AB6" w:rsidRPr="00434AB6">
        <w:t xml:space="preserve">waterschap, provincie of Rijk </w:t>
      </w:r>
      <w:r>
        <w:t xml:space="preserve">een nieuwe versie van Besluit en Regeling(en), die het interne besluitvormingsproces doorloopt. Dit resulteert in een voorstel aan het bevoegde bestuursorgaan. </w:t>
      </w:r>
      <w:r w:rsidRPr="00A40952">
        <w:t xml:space="preserve">Vervolgens </w:t>
      </w:r>
      <w:r>
        <w:t>stelt het bestuursorgaan het projectbesluit vast. Daarbij kan het bestuursorgaan nog wijzigingen in het projectbesluit aanbrengen. D</w:t>
      </w:r>
      <w:r w:rsidR="0031459E">
        <w:t>e ambtelijke organisatie verwerkt d</w:t>
      </w:r>
      <w:r>
        <w:t>eze eventuele wijzigingen in de plansoftware.</w:t>
      </w:r>
    </w:p>
    <w:p w14:paraId="24E5502C" w14:textId="08200BBB" w:rsidR="00914E8B" w:rsidRDefault="00017788" w:rsidP="00EC1A29">
      <w:r>
        <w:t>In het geval van een projectbesluit van het waterschap</w:t>
      </w:r>
      <w:r w:rsidR="00BC1AAD">
        <w:t xml:space="preserve"> </w:t>
      </w:r>
      <w:r w:rsidR="00BC1AAD" w:rsidRPr="00BC1AAD">
        <w:t>zendt het waterschap</w:t>
      </w:r>
      <w:r w:rsidR="00BC1AAD">
        <w:t>,</w:t>
      </w:r>
      <w:r w:rsidR="00BC1AAD" w:rsidRPr="00BC1AAD">
        <w:t xml:space="preserve"> </w:t>
      </w:r>
      <w:r w:rsidR="00BC1AAD">
        <w:t>n</w:t>
      </w:r>
      <w:r w:rsidR="00EC1A29" w:rsidRPr="002D49C5">
        <w:t xml:space="preserve">adat het dagelijks bestuur het heeft vastgesteld, </w:t>
      </w:r>
      <w:r w:rsidR="00EC1A29">
        <w:t xml:space="preserve">het </w:t>
      </w:r>
      <w:r w:rsidR="00EC1A29" w:rsidRPr="002D49C5">
        <w:t xml:space="preserve">projectbesluit </w:t>
      </w:r>
      <w:r w:rsidR="00EC1A29">
        <w:t xml:space="preserve">toe aan </w:t>
      </w:r>
      <w:r w:rsidR="00EC1A29" w:rsidRPr="002D49C5">
        <w:t>GS ter goedkeuring.</w:t>
      </w:r>
      <w:r w:rsidR="00EC1A29">
        <w:t xml:space="preserve"> </w:t>
      </w:r>
      <w:r w:rsidR="00EC1A29" w:rsidRPr="00DC1EC3">
        <w:t>De DSO-keten biedt geen ondersteuning voor deze toezending. Waterschappen en provincies zullen daar afspraken over moeten maken.</w:t>
      </w:r>
      <w:r w:rsidR="00EC1A29">
        <w:t xml:space="preserve"> GS besluiten over de goedkeuring van het projectbesluit en zenden hun besluit (</w:t>
      </w:r>
      <w:r w:rsidR="00EC1A29" w:rsidRPr="00834CE7">
        <w:t>per post</w:t>
      </w:r>
      <w:r w:rsidR="00EC1A29">
        <w:t>)</w:t>
      </w:r>
      <w:r w:rsidR="00EC1A29" w:rsidRPr="00834CE7">
        <w:t xml:space="preserve"> </w:t>
      </w:r>
      <w:r w:rsidR="00EC1A29">
        <w:t>aan het waterschap.</w:t>
      </w:r>
    </w:p>
    <w:p w14:paraId="40916453" w14:textId="506EBE41" w:rsidR="00914E8B" w:rsidRDefault="00EC1A29" w:rsidP="00EC1A29">
      <w:r w:rsidRPr="00656797">
        <w:t>Uit het systeem van de wet vloeit voort dat wanneer GS aan het projectbesluit goedkeuring onthouden, het projectbesluit niet in werking treedt. Het projectbesluit wordt in dat geval niet bekend gemaakt.</w:t>
      </w:r>
      <w:r>
        <w:t xml:space="preserve"> Zoals in paragraaf </w:t>
      </w:r>
      <w:r>
        <w:fldChar w:fldCharType="begin" w:fldLock="1"/>
      </w:r>
      <w:r>
        <w:instrText xml:space="preserve"> REF _Ref_235de80b63f402fa5c1b8456b222e5cb_3 \n \h </w:instrText>
      </w:r>
      <w:r>
        <w:fldChar w:fldCharType="separate"/>
      </w:r>
      <w:r w:rsidRPr="00DF3BF8">
        <w:rPr>
          <w:rStyle w:val="Verwijzing"/>
        </w:rPr>
        <w:t>10.6.4.1.3</w:t>
      </w:r>
      <w:r>
        <w:fldChar w:fldCharType="end"/>
      </w:r>
      <w:r>
        <w:t xml:space="preserve"> al is aangegeven zijn er geen wettelijke </w:t>
      </w:r>
      <w:r w:rsidRPr="004E79C8">
        <w:lastRenderedPageBreak/>
        <w:t>bepal</w:t>
      </w:r>
      <w:r>
        <w:t>ing</w:t>
      </w:r>
      <w:r w:rsidRPr="004E79C8">
        <w:t xml:space="preserve">en </w:t>
      </w:r>
      <w:r>
        <w:t xml:space="preserve">over </w:t>
      </w:r>
      <w:r w:rsidRPr="004E79C8">
        <w:t xml:space="preserve">wat er met het projectbesluit moet gebeuren als GS het projectbesluit gedeeltelijk goedkeuren. </w:t>
      </w:r>
      <w:r>
        <w:t>I</w:t>
      </w:r>
      <w:r w:rsidRPr="00C63085">
        <w:t xml:space="preserve">n dit TPOD </w:t>
      </w:r>
      <w:r>
        <w:t xml:space="preserve">wordt </w:t>
      </w:r>
      <w:r w:rsidRPr="00C63085">
        <w:t xml:space="preserve">aanbevolen dat als GS het projectbesluit gedeeltelijk goedkeuren, het waterschap het projectbesluit integraal, zoals het is vastgesteld, bekend maakt. Het waterschap verwijdert in deze fase dus niet de niet-goedgekeurde onderdelen uit </w:t>
      </w:r>
      <w:r w:rsidRPr="00426D8E">
        <w:t>de versie van het projectbesluit die ter bekendmaking wordt aangeleverd</w:t>
      </w:r>
      <w:r w:rsidRPr="00C63085">
        <w:t>.</w:t>
      </w:r>
    </w:p>
    <w:p w14:paraId="0E1114AB" w14:textId="24C29D3E" w:rsidR="00EC1A29" w:rsidRDefault="00EC1A29" w:rsidP="00EC1A29">
      <w:r>
        <w:t xml:space="preserve">Als GS het projectbesluit geheel of gedeeltelijk hebben goedgekeurd, </w:t>
      </w:r>
      <w:r w:rsidR="004B17D4">
        <w:t xml:space="preserve">is de aanbeveling in dit TPOD dat </w:t>
      </w:r>
      <w:r>
        <w:t>h</w:t>
      </w:r>
      <w:r w:rsidRPr="00656797">
        <w:t xml:space="preserve">et waterschap het GS-besluit over goedkeuring als bijlage </w:t>
      </w:r>
      <w:r w:rsidR="00FB4212">
        <w:t xml:space="preserve">bijvoegt </w:t>
      </w:r>
      <w:r w:rsidRPr="00656797">
        <w:t>bij het Besluitdeel van het projectbesluit.</w:t>
      </w:r>
    </w:p>
    <w:p w14:paraId="40529101" w14:textId="77777777" w:rsidR="00EC1A29" w:rsidRDefault="00EC1A29" w:rsidP="00EC1A29"/>
    <w:p w14:paraId="3A91A5A3" w14:textId="53D60A31" w:rsidR="00EC1A29" w:rsidRPr="00D07724" w:rsidRDefault="00FB4212" w:rsidP="00EC1A29">
      <w:r>
        <w:t>W</w:t>
      </w:r>
      <w:r w:rsidRPr="00FB4212">
        <w:t xml:space="preserve">aterschap, provincie of Rijk </w:t>
      </w:r>
      <w:r>
        <w:t xml:space="preserve">moet </w:t>
      </w:r>
      <w:r w:rsidR="001A4B35" w:rsidRPr="001A4B35">
        <w:t xml:space="preserve">van het besluit mededeling doen </w:t>
      </w:r>
      <w:r w:rsidR="00EC1A29" w:rsidRPr="00C95AE9">
        <w:t>aan degenen die over het ontwerp van het besluit zienswijzen naar voren hebben gebracht</w:t>
      </w:r>
      <w:r w:rsidR="00EA6AE1">
        <w:t xml:space="preserve"> en hen </w:t>
      </w:r>
      <w:r w:rsidR="00EA6AE1" w:rsidRPr="00EA6AE1">
        <w:t>een exemplaar van het besluit toezenden</w:t>
      </w:r>
      <w:r w:rsidR="00EC1A29" w:rsidRPr="00C95AE9">
        <w:t>.</w:t>
      </w:r>
      <w:r w:rsidR="00EC1A29">
        <w:t xml:space="preserve"> </w:t>
      </w:r>
      <w:r w:rsidR="00EC1A29" w:rsidRPr="00BC2DF6">
        <w:t xml:space="preserve">De DSO-keten biedt geen ondersteuning voor deze </w:t>
      </w:r>
      <w:r w:rsidR="003346B1">
        <w:t xml:space="preserve">mededeling en </w:t>
      </w:r>
      <w:r w:rsidR="00EC1A29" w:rsidRPr="00BC2DF6">
        <w:t xml:space="preserve">toezending. </w:t>
      </w:r>
      <w:r w:rsidR="00EC1A29">
        <w:t xml:space="preserve">Het is aan waterschap, provincie of Rijk om te bepalen </w:t>
      </w:r>
      <w:r w:rsidR="001D67D8">
        <w:t xml:space="preserve">hoe en </w:t>
      </w:r>
      <w:r w:rsidR="00EC1A29">
        <w:t xml:space="preserve">in welke vorm </w:t>
      </w:r>
      <w:r w:rsidR="001D67D8">
        <w:t xml:space="preserve">hij/zij </w:t>
      </w:r>
      <w:r w:rsidR="003346B1">
        <w:t>dat doet</w:t>
      </w:r>
      <w:r w:rsidR="00EC1A2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