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E33EDD" w:rsidRPr="00A22075" w:rsidRDefault="00E33EDD" w:rsidP="00E33EDD">
      <w:pPr>
        <w:pStyle w:val="Kop3"/>
      </w:pPr>
      <w:bookmarkStart w:id="12" w:name="_Ref_d22fd847d428484a38ae09856f4e1b75_1"/>
      <w:r w:rsidRPr="00A22075">
        <w:t>Kenschets rechtsfiguur</w:t>
      </w:r>
      <w:bookmarkEnd w:id="12"/>
    </w:p>
    <w:p w14:paraId="4113F25E" w14:textId="77777777" w:rsidR="00E33EDD" w:rsidRPr="00A22075" w:rsidRDefault="00E33EDD" w:rsidP="00E33EDD">
      <w:r w:rsidRPr="00A22075">
        <w:t xml:space="preserve">Rijk, provincies, waterschappen en gemeenten stellen elk (integraal) beleid en regels vast </w:t>
      </w:r>
      <w:r w:rsidR="00426FFC" w:rsidRPr="00A22075">
        <w:t xml:space="preserve">en nemen vervolgens </w:t>
      </w:r>
      <w:r w:rsidR="004A7D8A" w:rsidRPr="00A22075">
        <w:t>andere</w:t>
      </w:r>
      <w:r w:rsidR="00426FFC" w:rsidRPr="00A22075">
        <w:t xml:space="preserve"> </w:t>
      </w:r>
      <w:r w:rsidR="00256613" w:rsidRPr="00A22075">
        <w:t>(uitvoerings)</w:t>
      </w:r>
      <w:r w:rsidR="00426FFC" w:rsidRPr="00A22075">
        <w:t xml:space="preserve">besluiten </w:t>
      </w:r>
      <w:r w:rsidRPr="00A22075">
        <w:t>over de ontwikkeling, het gebruik, de bescherming en het beheer en onderhoud van de fysieke leefomgeving voor hun grondgebied. Zij leggen dit vast in één of meerdere</w:t>
      </w:r>
      <w:r w:rsidR="00F452CD" w:rsidRPr="00A22075">
        <w:t xml:space="preserve"> omgevingsdocumenten</w:t>
      </w:r>
      <w:r w:rsidRPr="00A22075">
        <w:t>.</w:t>
      </w:r>
    </w:p>
    <w:p w14:paraId="3545C53C" w14:textId="5A220210" w:rsidR="00E33EDD" w:rsidRPr="00A22075" w:rsidRDefault="00E33EDD" w:rsidP="00E33EDD">
      <w:r w:rsidRPr="00A22075">
        <w:t xml:space="preserve">Elk van deze </w:t>
      </w:r>
      <w:r w:rsidR="00A979BA" w:rsidRPr="00A979BA">
        <w:t>bestuurslagen</w:t>
      </w:r>
      <w:r w:rsidR="00A979BA" w:rsidRPr="00A979BA" w:rsidDel="00A979BA">
        <w:t xml:space="preserve"> </w:t>
      </w:r>
      <w:r w:rsidRPr="00A22075">
        <w:t>heeft in het stelsel voor het omgevingsrecht zijn eigen bevoegdheden en verantwoordelijkheden en daarmee samenhangende instrumenten, waaronder de</w:t>
      </w:r>
      <w:r w:rsidR="00F452CD" w:rsidRPr="00A22075">
        <w:t xml:space="preserve"> omgevingsdocumenten</w:t>
      </w:r>
      <w:r w:rsidRPr="00A22075">
        <w:t>.</w:t>
      </w:r>
    </w:p>
    <w:p w14:paraId="50AC5468" w14:textId="77777777" w:rsidR="00E33EDD" w:rsidRPr="00A22075" w:rsidRDefault="00E33EDD" w:rsidP="00E33EDD"/>
    <w:p w14:paraId="7E2EE9CD" w14:textId="77777777" w:rsidR="00E33EDD" w:rsidRPr="00A22075" w:rsidRDefault="00E33EDD" w:rsidP="00E33EDD">
      <w:r w:rsidRPr="00A22075">
        <w:t>De gemeente stelt regels over de fysieke leefomgeving en legt deze vast in één omgevingsplan voor haar gehele grondgebied. Het omgevingsplan bevat in de eerste plaats de regels die op grond van de Omgevingswet worden gesteld en daarnaast ook regels over de fysieke leefomgeving die worden gesteld op grond van de Gemeentewet en andere bijzondere wetten.</w:t>
      </w:r>
    </w:p>
    <w:p w14:paraId="68CC5D60" w14:textId="77777777" w:rsidR="00E33EDD" w:rsidRPr="00A22075" w:rsidRDefault="00E33EDD" w:rsidP="00E33EDD"/>
    <w:p w14:paraId="0327081E" w14:textId="77777777" w:rsidR="00E33EDD" w:rsidRPr="00A22075" w:rsidRDefault="00E33EDD" w:rsidP="00E33EDD">
      <w:r w:rsidRPr="00A22075">
        <w:t>Het omgevingsplan bevat de regels die nodig zijn met het oog op een evenwichtige toedeling van functies aan locaties. Daarnaast kunnen in het omgevingsplan regels worden gesteld over activiteiten die gevolgen (kunnen) hebben voor de fysieke leefomgeving.</w:t>
      </w:r>
    </w:p>
    <w:p w14:paraId="0B6F0B04" w14:textId="77777777" w:rsidR="00E33EDD" w:rsidRPr="00A22075" w:rsidRDefault="00E33EDD" w:rsidP="00E33EDD">
      <w:r w:rsidRPr="00A22075">
        <w:t xml:space="preserve">Het omgevingsplan is een normerend instrument dat voor </w:t>
      </w:r>
      <w:r w:rsidR="005F4EBF" w:rsidRPr="00A22075">
        <w:t>eenieder</w:t>
      </w:r>
      <w:r w:rsidRPr="00A22075">
        <w:t xml:space="preserve"> rechten en plichten in het leven roept.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