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B6A" w14:textId="324F21DF" w:rsidR="00E33EDD" w:rsidRPr="00B26823" w:rsidRDefault="00E813BE" w:rsidP="00BC0FCD">
      <w:pPr>
        <w:pStyle w:val="Kop3"/>
      </w:pPr>
      <w:bookmarkStart w:id="19" w:name="_Ref_4bc5f5e40edbd09619c52d8c059fa328_1"/>
      <w:r w:rsidRPr="007B60F8">
        <w:t xml:space="preserve">De inhoud van </w:t>
      </w:r>
      <w:r w:rsidRPr="00A22075">
        <w:fldChar w:fldCharType="begin"/>
      </w:r>
      <w:r w:rsidRPr="007B60F8">
        <w:instrText>DOCVARIABLE ID01+</w:instrText>
      </w:r>
      <w:r w:rsidRPr="00A22075">
        <w:fldChar w:fldCharType="separate"/>
      </w:r>
      <w:r w:rsidR="00367A0A">
        <w:t>het omgevingsplan</w:t>
      </w:r>
      <w:r w:rsidRPr="00A22075">
        <w:fldChar w:fldCharType="end"/>
      </w:r>
      <w:bookmarkEnd w:id="19"/>
    </w:p>
    <w:p w14:paraId="457588A5" w14:textId="6D21BF89" w:rsidR="00E33EDD" w:rsidRPr="007B60F8" w:rsidRDefault="00E33EDD" w:rsidP="00E33EDD">
      <w:r w:rsidRPr="00A22075">
        <w:t xml:space="preserve">De Omgevingswet geeft geen sluitend overzicht van onderwerpen waarover in </w:t>
      </w:r>
      <w:r w:rsidRPr="00A22075">
        <w:fldChar w:fldCharType="begin"/>
      </w:r>
      <w:r w:rsidRPr="007B60F8">
        <w:rPr>
          <w:noProof/>
        </w:rPr>
        <w:instrText xml:space="preserve"> DOCVARIABLE ID01+ </w:instrText>
      </w:r>
      <w:r w:rsidRPr="00A22075">
        <w:rPr>
          <w:noProof/>
        </w:rPr>
        <w:fldChar w:fldCharType="separate"/>
      </w:r>
      <w:r w:rsidR="00367A0A">
        <w:rPr>
          <w:noProof/>
        </w:rPr>
        <w:t>het omgevingsplan</w:t>
      </w:r>
      <w:r w:rsidRPr="00A22075">
        <w:fldChar w:fldCharType="end"/>
      </w:r>
      <w:r w:rsidRPr="00B26823">
        <w:t xml:space="preserve"> regels gesteld moeten of kunnen worden. Wel is bepaald welke aspecten de fysieke leefomgeving in ieder geval omvat en welke gevolgen worden aangemerkt als gevolgen voor de fysieke leefomgeving.</w:t>
      </w:r>
    </w:p>
    <w:p w14:paraId="4907F470" w14:textId="1C3609FF" w:rsidR="00E33EDD" w:rsidRPr="00A22075" w:rsidRDefault="00E33EDD" w:rsidP="00E33EDD">
      <w:r w:rsidRPr="007B60F8">
        <w:t xml:space="preserve">In de wet staan vervolgens -soms expliciet, </w:t>
      </w:r>
      <w:r w:rsidR="00425217" w:rsidRPr="007B60F8">
        <w:t xml:space="preserve">soms </w:t>
      </w:r>
      <w:r w:rsidRPr="007B60F8">
        <w:t xml:space="preserve">ook impliciet- specifiekere bepalingen over de inhoud van </w:t>
      </w:r>
      <w:r w:rsidRPr="00A22075">
        <w:fldChar w:fldCharType="begin"/>
      </w:r>
      <w:r w:rsidRPr="007B60F8">
        <w:rPr>
          <w:noProof/>
        </w:rPr>
        <w:instrText xml:space="preserve"> DOCVARIABLE ID01+ </w:instrText>
      </w:r>
      <w:r w:rsidRPr="00A22075">
        <w:rPr>
          <w:noProof/>
        </w:rPr>
        <w:fldChar w:fldCharType="separate"/>
      </w:r>
      <w:r w:rsidR="00367A0A">
        <w:rPr>
          <w:noProof/>
        </w:rPr>
        <w:t>het omgevingsplan</w:t>
      </w:r>
      <w:r w:rsidRPr="00A22075">
        <w:fldChar w:fldCharType="end"/>
      </w:r>
      <w:r w:rsidRPr="00B26823">
        <w:t xml:space="preserve">, zoals het aanwijzen van onderwerpen waarover regels alleen in een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367A0A">
        <w:rPr>
          <w:noProof/>
        </w:rPr>
        <w:t>omgevingsplan</w:t>
      </w:r>
      <w:r w:rsidRPr="00A22075">
        <w:fldChar w:fldCharType="end"/>
      </w:r>
      <w:r w:rsidRPr="00B26823">
        <w:t xml:space="preserve"> mogen worden o</w:t>
      </w:r>
      <w:r w:rsidRPr="00A22075">
        <w:t>pgenomen.</w:t>
      </w:r>
    </w:p>
    <w:p w14:paraId="51394600" w14:textId="77777777" w:rsidR="00E33EDD" w:rsidRPr="007B60F8" w:rsidRDefault="00E33EDD" w:rsidP="00E33EDD"/>
    <w:p w14:paraId="1D3F5B9F" w14:textId="77777777" w:rsidR="00E33EDD" w:rsidRPr="007B60F8" w:rsidRDefault="00E33EDD" w:rsidP="00E33EDD">
      <w:r w:rsidRPr="007B60F8">
        <w:t>In de Omgevingswet is bepaald dat bij AMvB gevallen kunnen worden aangewezen:</w:t>
      </w:r>
    </w:p>
    <w:p w14:paraId="22AAB2A3" w14:textId="50AE370E" w:rsidR="00E33EDD" w:rsidRPr="007B60F8" w:rsidRDefault="00E33EDD" w:rsidP="00E33EDD">
      <w:pPr>
        <w:pStyle w:val="Opsommingtekens1"/>
      </w:pPr>
      <w:r w:rsidRPr="007B60F8">
        <w:lastRenderedPageBreak/>
        <w:t xml:space="preserve">waarin regels over de fysieke leefomgeving alleen in </w:t>
      </w:r>
      <w:r w:rsidRPr="00A22075">
        <w:fldChar w:fldCharType="begin"/>
      </w:r>
      <w:r w:rsidRPr="007B60F8">
        <w:rPr>
          <w:noProof/>
        </w:rPr>
        <w:instrText xml:space="preserve"> DOCVARIABLE ID01+ </w:instrText>
      </w:r>
      <w:r w:rsidRPr="00A22075">
        <w:rPr>
          <w:noProof/>
        </w:rPr>
        <w:fldChar w:fldCharType="separate"/>
      </w:r>
      <w:r w:rsidR="00367A0A">
        <w:rPr>
          <w:noProof/>
        </w:rPr>
        <w:t>het omgevingsplan</w:t>
      </w:r>
      <w:r w:rsidRPr="00A22075">
        <w:fldChar w:fldCharType="end"/>
      </w:r>
      <w:r w:rsidRPr="00B26823">
        <w:t xml:space="preserve"> mogen worden opgenomen;</w:t>
      </w:r>
    </w:p>
    <w:p w14:paraId="0993E2D2" w14:textId="29A63AFC" w:rsidR="00E33EDD" w:rsidRPr="007B60F8" w:rsidRDefault="00E33EDD" w:rsidP="00E33EDD">
      <w:pPr>
        <w:pStyle w:val="Opsommingtekens1"/>
      </w:pPr>
      <w:r w:rsidRPr="007B60F8">
        <w:t>waarin regels over de fysieke leefomgeving niet in</w:t>
      </w:r>
      <w:r w:rsidR="00543A9F" w:rsidRPr="007B60F8">
        <w:t xml:space="preserve"> </w:t>
      </w:r>
      <w:r w:rsidRPr="00A22075">
        <w:fldChar w:fldCharType="begin"/>
      </w:r>
      <w:r w:rsidRPr="007B60F8">
        <w:rPr>
          <w:noProof/>
        </w:rPr>
        <w:instrText xml:space="preserve"> DOCVARIABLE ID01+ </w:instrText>
      </w:r>
      <w:r w:rsidRPr="00A22075">
        <w:rPr>
          <w:noProof/>
        </w:rPr>
        <w:fldChar w:fldCharType="separate"/>
      </w:r>
      <w:r w:rsidR="00367A0A">
        <w:rPr>
          <w:noProof/>
        </w:rPr>
        <w:t>het omgevingsplan</w:t>
      </w:r>
      <w:r w:rsidRPr="00A22075">
        <w:fldChar w:fldCharType="end"/>
      </w:r>
      <w:r w:rsidRPr="00B26823">
        <w:t xml:space="preserve"> mogen worden opgenomen.</w:t>
      </w:r>
    </w:p>
    <w:p w14:paraId="09715055" w14:textId="77777777" w:rsidR="00D5226C" w:rsidRPr="007B60F8" w:rsidRDefault="00D5226C" w:rsidP="00E33EDD"/>
    <w:p w14:paraId="5B238FA4" w14:textId="74804219" w:rsidR="00E33EDD" w:rsidRPr="007B60F8" w:rsidRDefault="00E33EDD" w:rsidP="00E33EDD">
      <w:r w:rsidRPr="007B60F8">
        <w:t xml:space="preserve">Deze gevallen zijn aangewezen in artikel 2.1 van het Omgevingsbesluit. Naast de regels die, als ze worden gesteld, in </w:t>
      </w:r>
      <w:r w:rsidRPr="00A22075">
        <w:fldChar w:fldCharType="begin"/>
      </w:r>
      <w:r w:rsidRPr="007B60F8">
        <w:rPr>
          <w:noProof/>
        </w:rPr>
        <w:instrText xml:space="preserve"> DOCVARIABLE ID01+ </w:instrText>
      </w:r>
      <w:r w:rsidRPr="00A22075">
        <w:rPr>
          <w:noProof/>
        </w:rPr>
        <w:fldChar w:fldCharType="separate"/>
      </w:r>
      <w:r w:rsidR="00367A0A">
        <w:rPr>
          <w:noProof/>
        </w:rPr>
        <w:t>het omgevingsplan</w:t>
      </w:r>
      <w:r w:rsidRPr="00A22075">
        <w:fldChar w:fldCharType="end"/>
      </w:r>
      <w:r w:rsidRPr="00B26823">
        <w:t xml:space="preserve"> moeten worden opgenomen en de regels over on</w:t>
      </w:r>
      <w:r w:rsidRPr="007B60F8">
        <w:t xml:space="preserve">derwerpen die daarin niet mogen worden opgenomen, ontstaat als vanzelf ook een categorie regels over onderwerpen die in </w:t>
      </w:r>
      <w:r w:rsidRPr="00A22075">
        <w:fldChar w:fldCharType="begin"/>
      </w:r>
      <w:r w:rsidRPr="007B60F8">
        <w:rPr>
          <w:noProof/>
        </w:rPr>
        <w:instrText xml:space="preserve"> DOCVARIABLE ID01+ </w:instrText>
      </w:r>
      <w:r w:rsidRPr="00A22075">
        <w:rPr>
          <w:noProof/>
        </w:rPr>
        <w:fldChar w:fldCharType="separate"/>
      </w:r>
      <w:r w:rsidR="00367A0A">
        <w:rPr>
          <w:noProof/>
        </w:rPr>
        <w:t>het omgevingsplan</w:t>
      </w:r>
      <w:r w:rsidRPr="00A22075">
        <w:fldChar w:fldCharType="end"/>
      </w:r>
      <w:r w:rsidRPr="00B26823">
        <w:t xml:space="preserve"> kunnen worden opgenomen maar waarvan dat niet verplicht wordt gesteld. Over die onderwerpen kunnen r</w:t>
      </w:r>
      <w:r w:rsidRPr="007B60F8">
        <w:t>egels ook in een (andere) verordening worden gesteld.</w:t>
      </w:r>
    </w:p>
    <w:p w14:paraId="7E4A5A58" w14:textId="77777777" w:rsidR="00E33EDD" w:rsidRPr="007B60F8" w:rsidRDefault="00E33EDD" w:rsidP="00E33EDD"/>
    <w:p w14:paraId="0578E506" w14:textId="59EA1B38" w:rsidR="0082593C" w:rsidRPr="007B60F8" w:rsidRDefault="00E33EDD" w:rsidP="00E33EDD">
      <w:r w:rsidRPr="00863F41">
        <w:rPr>
          <w:rStyle w:val="Verwijzing"/>
        </w:rPr>
        <w:fldChar w:fldCharType="begin"/>
      </w:r>
      <w:r w:rsidRPr="00863F41">
        <w:rPr>
          <w:rStyle w:val="Verwijzing"/>
        </w:rPr>
        <w:instrText xml:space="preserve"> REF _Ref_4bc5f5e40edbd09619c52d8c059fa328_2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367A0A">
        <w:rPr>
          <w:rStyle w:val="Verwijzing"/>
        </w:rPr>
        <w:t>Tabel 4</w:t>
      </w:r>
      <w:r w:rsidRPr="00863F41">
        <w:rPr>
          <w:rStyle w:val="Verwijzing"/>
        </w:rPr>
        <w:fldChar w:fldCharType="end"/>
      </w:r>
      <w:r w:rsidRPr="00B26823">
        <w:t xml:space="preserve"> biedt een overzicht van de belangrijkste regels en onderwerpen die </w:t>
      </w:r>
      <w:r w:rsidRPr="00A22075">
        <w:fldChar w:fldCharType="begin"/>
      </w:r>
      <w:r w:rsidRPr="007B60F8">
        <w:instrText>DOCVARIABLE ID01+</w:instrText>
      </w:r>
      <w:r w:rsidRPr="00A22075">
        <w:fldChar w:fldCharType="separate"/>
      </w:r>
      <w:r w:rsidR="00367A0A">
        <w:t>het omgevingsplan</w:t>
      </w:r>
      <w:r w:rsidRPr="00A22075">
        <w:fldChar w:fldCharType="end"/>
      </w:r>
      <w:r w:rsidRPr="00B26823">
        <w:t xml:space="preserve"> op grond van de Omgevingswet moet, respectievelijk kan, bevatten.</w:t>
      </w:r>
    </w:p>
    <w:p w14:paraId="09F6BED2" w14:textId="51F82E3B" w:rsidR="00E33EDD" w:rsidRPr="00B26823" w:rsidRDefault="00E33EDD" w:rsidP="00E33EDD">
      <w:pPr>
        <w:pStyle w:val="Tabeltitel"/>
      </w:pPr>
      <w:bookmarkStart w:id="28" w:name="_Ref_4bc5f5e40edbd09619c52d8c059fa328_2"/>
      <w:r w:rsidRPr="007B60F8">
        <w:t xml:space="preserve">Inhoudelijke kenmerken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367A0A">
        <w:rPr>
          <w:noProof/>
        </w:rPr>
        <w:t>omgevingsplan</w:t>
      </w:r>
      <w:r w:rsidRPr="00A22075">
        <w:fldChar w:fldCharType="end"/>
      </w:r>
      <w:bookmarkEnd w:id="28"/>
    </w:p>
    <w:tbl>
      <w:tblPr>
        <w:tblStyle w:val="Tabel"/>
        <w:tblW w:w="5000" w:type="pct"/>
        <w:tblLayout w:type="fixed"/>
        <w:tblLook w:val="0620" w:firstRow="1" w:lastRow="0" w:firstColumn="0" w:lastColumn="0" w:noHBand="1" w:noVBand="1"/>
      </w:tblPr>
      <w:tblGrid>
        <w:gridCol w:w="2547"/>
        <w:gridCol w:w="1984"/>
        <w:gridCol w:w="3963"/>
      </w:tblGrid>
      <w:tr w:rsidR="00980F2B" w:rsidRPr="007B60F8" w14:paraId="60146D8D"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499" w:type="pct"/>
          </w:tcPr>
          <w:p w14:paraId="5A033523" w14:textId="77777777" w:rsidR="00980F2B" w:rsidRPr="007B60F8" w:rsidRDefault="00980F2B" w:rsidP="009F5482">
            <w:r w:rsidRPr="007B60F8">
              <w:t>Onderwerp</w:t>
            </w:r>
          </w:p>
        </w:tc>
        <w:tc>
          <w:tcPr>
            <w:tcW w:w="1168" w:type="pct"/>
          </w:tcPr>
          <w:p w14:paraId="481A580E" w14:textId="77777777" w:rsidR="00980F2B" w:rsidRPr="007B60F8" w:rsidRDefault="00980F2B" w:rsidP="009F5482">
            <w:r w:rsidRPr="007B60F8">
              <w:t>Bron</w:t>
            </w:r>
          </w:p>
        </w:tc>
        <w:tc>
          <w:tcPr>
            <w:tcW w:w="2333" w:type="pct"/>
          </w:tcPr>
          <w:p w14:paraId="35B0F0D8" w14:textId="77777777" w:rsidR="00980F2B" w:rsidRPr="007B60F8" w:rsidRDefault="00980F2B" w:rsidP="009F5482">
            <w:r w:rsidRPr="007B60F8">
              <w:t>Karakterisering/Toelichting</w:t>
            </w:r>
          </w:p>
        </w:tc>
      </w:tr>
      <w:tr w:rsidR="00980F2B" w:rsidRPr="007B60F8" w14:paraId="0D82D598" w14:textId="77777777" w:rsidTr="009F5482">
        <w:tc>
          <w:tcPr>
            <w:tcW w:w="1499" w:type="pct"/>
          </w:tcPr>
          <w:p w14:paraId="0ABBA752" w14:textId="77777777" w:rsidR="00980F2B" w:rsidRPr="007B60F8" w:rsidRDefault="00980F2B" w:rsidP="009F5482">
            <w:r w:rsidRPr="007B60F8">
              <w:t xml:space="preserve">Vaststellen van omgevingswaarde </w:t>
            </w:r>
          </w:p>
        </w:tc>
        <w:tc>
          <w:tcPr>
            <w:tcW w:w="1168" w:type="pct"/>
          </w:tcPr>
          <w:p w14:paraId="5C0EBA3F" w14:textId="77777777" w:rsidR="00980F2B" w:rsidRPr="007B60F8" w:rsidRDefault="00980F2B" w:rsidP="009F5482">
            <w:r w:rsidRPr="007B60F8">
              <w:t>art 2.11 lid 1 Ow</w:t>
            </w:r>
          </w:p>
        </w:tc>
        <w:tc>
          <w:tcPr>
            <w:tcW w:w="2333" w:type="pct"/>
          </w:tcPr>
          <w:p w14:paraId="3C0BEB56" w14:textId="77777777" w:rsidR="00980F2B" w:rsidRPr="007B60F8" w:rsidRDefault="00980F2B" w:rsidP="009F5482">
            <w:pPr>
              <w:rPr>
                <w:rFonts w:eastAsia="Verdana"/>
              </w:rPr>
            </w:pPr>
            <w:r w:rsidRPr="007B60F8">
              <w:rPr>
                <w:rFonts w:eastAsia="Verdana"/>
              </w:rPr>
              <w:t xml:space="preserve">Omgevingswaarden zijn normen die de gewenste staat of kwaliteit van de fysieke leefomgeving of een onderdeel daarvan als beleidsdoel vastleggen. Omgevingswaarden worden uitgedrukt in meetbare of berekenbare eenheden of anderszins in objectieve termen. </w:t>
            </w:r>
            <w:r w:rsidRPr="007B60F8">
              <w:t>Een omgevingswaarde leidt bij dreigende overschrijding tot verplichtingen voor de overheid en heeft geen rechtstreekse werking voor anderen.</w:t>
            </w:r>
          </w:p>
          <w:p w14:paraId="30502406" w14:textId="77777777" w:rsidR="00980F2B" w:rsidRPr="007B60F8" w:rsidRDefault="00980F2B" w:rsidP="009F5482">
            <w:r w:rsidRPr="007B60F8">
              <w:rPr>
                <w:rFonts w:eastAsia="Verdana"/>
              </w:rPr>
              <w:t>NB: omgevingswaarden kunnen in aanvulling op of in afwijking van omgevingswaarden uit omgevingsverordening of AMvB worden vastgesteld, maar alleen als dat in omgevingsverordening of AMvB is bepaald.</w:t>
            </w:r>
          </w:p>
        </w:tc>
      </w:tr>
      <w:tr w:rsidR="00980F2B" w:rsidRPr="007B60F8" w14:paraId="20843A74" w14:textId="77777777" w:rsidTr="009F5482">
        <w:tc>
          <w:tcPr>
            <w:tcW w:w="1499" w:type="pct"/>
          </w:tcPr>
          <w:p w14:paraId="6F48F2C5" w14:textId="77777777" w:rsidR="00980F2B" w:rsidRPr="007B60F8" w:rsidRDefault="00980F2B" w:rsidP="009F5482">
            <w:r w:rsidRPr="007B60F8">
              <w:lastRenderedPageBreak/>
              <w:t xml:space="preserve">Aanwijzen van programma en bestuursorgaan dat bevoegd is programma vast te stellen </w:t>
            </w:r>
          </w:p>
        </w:tc>
        <w:tc>
          <w:tcPr>
            <w:tcW w:w="1168" w:type="pct"/>
          </w:tcPr>
          <w:p w14:paraId="5C966581" w14:textId="77777777" w:rsidR="00980F2B" w:rsidRPr="007B60F8" w:rsidRDefault="00980F2B" w:rsidP="009F5482">
            <w:pPr>
              <w:rPr>
                <w:lang w:val="en-US"/>
              </w:rPr>
            </w:pPr>
            <w:r w:rsidRPr="007B60F8">
              <w:rPr>
                <w:lang w:val="en-US"/>
              </w:rPr>
              <w:t>art. 3.15 lid 2 en 5 jo art. 3.16 Ow</w:t>
            </w:r>
          </w:p>
        </w:tc>
        <w:tc>
          <w:tcPr>
            <w:tcW w:w="2333" w:type="pct"/>
          </w:tcPr>
          <w:p w14:paraId="10C0DC1C" w14:textId="77777777" w:rsidR="00980F2B" w:rsidRPr="007B60F8" w:rsidRDefault="00980F2B" w:rsidP="009F5482">
            <w:r w:rsidRPr="007B60F8">
              <w:t>Het moet gaan om programma dat betrekking heeft op omgevingswaarden gemeente of andere doelstelling voor fysieke leefomgeving waarvoor in omgevingsplan een regel over verlenen of weigeren van omgevingsvergunning voor een omgevingsplanactiviteit is gesteld.</w:t>
            </w:r>
          </w:p>
          <w:p w14:paraId="51C8D445" w14:textId="77777777" w:rsidR="00980F2B" w:rsidRPr="007B60F8" w:rsidRDefault="00980F2B" w:rsidP="009F5482">
            <w:r w:rsidRPr="007B60F8">
              <w:t>Met de term ‘aanwijzen van programma’s’ wordt ook bedoeld dat in het omgevingsplan kan worden bepaald dat een programma met programmatische aanpak moet worden vastgesteld.</w:t>
            </w:r>
          </w:p>
        </w:tc>
      </w:tr>
      <w:tr w:rsidR="00980F2B" w:rsidRPr="007B60F8" w14:paraId="190B196A" w14:textId="77777777" w:rsidTr="009F5482">
        <w:tc>
          <w:tcPr>
            <w:tcW w:w="1499" w:type="pct"/>
          </w:tcPr>
          <w:p w14:paraId="0BC33063" w14:textId="77777777" w:rsidR="00980F2B" w:rsidRPr="007B60F8" w:rsidRDefault="00980F2B" w:rsidP="009F5482">
            <w:r w:rsidRPr="007B60F8">
              <w:t>Regels over betrekken omgevingswaarde of andere doelstelling uit programma bij uitoefening van taken en bevoegdheden en regels over welke bepalingen o.g.v. artt. 2.22 lid 1, 2.24 lid 1, 5.18, 5.19 lid 1 of 5.30 of welke regels over verlenen/weigeren omgevingsvergunning voor omgevingsplanactiviteit geheel/gedeeltelijk buiten toepassing blijven</w:t>
            </w:r>
          </w:p>
        </w:tc>
        <w:tc>
          <w:tcPr>
            <w:tcW w:w="1168" w:type="pct"/>
          </w:tcPr>
          <w:p w14:paraId="5A23FAF0" w14:textId="77777777" w:rsidR="00980F2B" w:rsidRPr="007B60F8" w:rsidRDefault="00980F2B" w:rsidP="009F5482">
            <w:r w:rsidRPr="007B60F8">
              <w:rPr>
                <w:lang w:val="en-US"/>
              </w:rPr>
              <w:t xml:space="preserve">art. 3.16 lid 2 Ow jo artt. </w:t>
            </w:r>
            <w:r w:rsidRPr="007B60F8">
              <w:t>2.22 lid 1, 2.24 lid 1, 5.18, 5.19 lid 1 of 5.30 Ow</w:t>
            </w:r>
          </w:p>
        </w:tc>
        <w:tc>
          <w:tcPr>
            <w:tcW w:w="2333" w:type="pct"/>
          </w:tcPr>
          <w:p w14:paraId="315EB323" w14:textId="77777777" w:rsidR="00980F2B" w:rsidRPr="007B60F8" w:rsidRDefault="00980F2B" w:rsidP="009F5482"/>
        </w:tc>
      </w:tr>
      <w:tr w:rsidR="00980F2B" w:rsidRPr="007B60F8" w14:paraId="7556375E" w14:textId="77777777" w:rsidTr="009F5482">
        <w:tc>
          <w:tcPr>
            <w:tcW w:w="1499" w:type="pct"/>
          </w:tcPr>
          <w:p w14:paraId="59DAA6DC" w14:textId="77777777" w:rsidR="00980F2B" w:rsidRPr="007B60F8" w:rsidRDefault="00980F2B" w:rsidP="009F5482">
            <w:r w:rsidRPr="007B60F8">
              <w:t xml:space="preserve">Regels over activiteiten die gevolgen hebben of kunnen hebben voor fysieke leefomgeving </w:t>
            </w:r>
          </w:p>
        </w:tc>
        <w:tc>
          <w:tcPr>
            <w:tcW w:w="1168" w:type="pct"/>
          </w:tcPr>
          <w:p w14:paraId="34403E55" w14:textId="77777777" w:rsidR="00980F2B" w:rsidRPr="007B60F8" w:rsidRDefault="00980F2B" w:rsidP="009F5482">
            <w:r w:rsidRPr="007B60F8">
              <w:t>art. 4.1 lid 1 Ow</w:t>
            </w:r>
          </w:p>
        </w:tc>
        <w:tc>
          <w:tcPr>
            <w:tcW w:w="2333" w:type="pct"/>
          </w:tcPr>
          <w:p w14:paraId="1FA418C0" w14:textId="77777777" w:rsidR="00980F2B" w:rsidRPr="007B60F8" w:rsidRDefault="00980F2B" w:rsidP="009F5482">
            <w:r w:rsidRPr="007B60F8">
              <w:t>NB: begrip ‘activiteit’: alle handelingen die de Omgevingswet reguleert (MvT op ontwerp-Omgevingswet, juni 2014)</w:t>
            </w:r>
          </w:p>
        </w:tc>
      </w:tr>
      <w:tr w:rsidR="00980F2B" w:rsidRPr="007B60F8" w14:paraId="6D45D14E" w14:textId="77777777" w:rsidTr="009F5482">
        <w:tc>
          <w:tcPr>
            <w:tcW w:w="1499" w:type="pct"/>
          </w:tcPr>
          <w:p w14:paraId="07970524" w14:textId="77777777" w:rsidR="00980F2B" w:rsidRPr="007B60F8" w:rsidRDefault="00980F2B" w:rsidP="009F5482">
            <w:r w:rsidRPr="007B60F8">
              <w:t xml:space="preserve">Regels die nodig zijn met het oog op een evenwichtige toedeling van functies aan locaties </w:t>
            </w:r>
          </w:p>
        </w:tc>
        <w:tc>
          <w:tcPr>
            <w:tcW w:w="1168" w:type="pct"/>
          </w:tcPr>
          <w:p w14:paraId="47ACF072" w14:textId="77777777" w:rsidR="00980F2B" w:rsidRPr="007B60F8" w:rsidRDefault="00980F2B" w:rsidP="009F5482">
            <w:r w:rsidRPr="007B60F8">
              <w:t>art. 4.2 lid 1 Ow</w:t>
            </w:r>
          </w:p>
        </w:tc>
        <w:tc>
          <w:tcPr>
            <w:tcW w:w="2333" w:type="pct"/>
          </w:tcPr>
          <w:p w14:paraId="5091325C" w14:textId="77777777" w:rsidR="00980F2B" w:rsidRPr="007B60F8" w:rsidRDefault="00980F2B" w:rsidP="009F5482"/>
        </w:tc>
      </w:tr>
      <w:tr w:rsidR="00980F2B" w:rsidRPr="007B60F8" w14:paraId="63B44552" w14:textId="77777777" w:rsidTr="009F5482">
        <w:tc>
          <w:tcPr>
            <w:tcW w:w="1499" w:type="pct"/>
          </w:tcPr>
          <w:p w14:paraId="2A7B8E08" w14:textId="77777777" w:rsidR="00980F2B" w:rsidRPr="007B60F8" w:rsidRDefault="00980F2B" w:rsidP="009F5482">
            <w:r w:rsidRPr="007B60F8">
              <w:t xml:space="preserve">Verbod om zonder voorafgaande melding aan het bevoegd gezag een activiteit te verrichten </w:t>
            </w:r>
          </w:p>
        </w:tc>
        <w:tc>
          <w:tcPr>
            <w:tcW w:w="1168" w:type="pct"/>
          </w:tcPr>
          <w:p w14:paraId="61048393" w14:textId="77777777" w:rsidR="00980F2B" w:rsidRPr="007B60F8" w:rsidRDefault="00980F2B" w:rsidP="009F5482">
            <w:r w:rsidRPr="007B60F8">
              <w:t>art. 4.4 lid 1 Ow</w:t>
            </w:r>
          </w:p>
        </w:tc>
        <w:tc>
          <w:tcPr>
            <w:tcW w:w="2333" w:type="pct"/>
          </w:tcPr>
          <w:p w14:paraId="053880DD" w14:textId="77777777" w:rsidR="00980F2B" w:rsidRPr="007B60F8" w:rsidRDefault="00980F2B" w:rsidP="009F5482">
            <w:r w:rsidRPr="007B60F8">
              <w:t>meldingsplicht</w:t>
            </w:r>
          </w:p>
        </w:tc>
      </w:tr>
      <w:tr w:rsidR="00980F2B" w:rsidRPr="007B60F8" w14:paraId="2904DCA5" w14:textId="77777777" w:rsidTr="009F5482">
        <w:tc>
          <w:tcPr>
            <w:tcW w:w="1499" w:type="pct"/>
          </w:tcPr>
          <w:p w14:paraId="15D44CFC" w14:textId="77777777" w:rsidR="00980F2B" w:rsidRPr="007B60F8" w:rsidRDefault="00980F2B" w:rsidP="009F5482">
            <w:r w:rsidRPr="007B60F8">
              <w:t xml:space="preserve">Verbod om zonder omgevingsvergunning een activiteit te verrichten </w:t>
            </w:r>
          </w:p>
        </w:tc>
        <w:tc>
          <w:tcPr>
            <w:tcW w:w="1168" w:type="pct"/>
          </w:tcPr>
          <w:p w14:paraId="0C9A0C22" w14:textId="77777777" w:rsidR="00980F2B" w:rsidRPr="007B60F8" w:rsidRDefault="00980F2B" w:rsidP="009F5482">
            <w:r w:rsidRPr="007B60F8">
              <w:t>art. 4.4 lid 2 Ow</w:t>
            </w:r>
          </w:p>
        </w:tc>
        <w:tc>
          <w:tcPr>
            <w:tcW w:w="2333" w:type="pct"/>
          </w:tcPr>
          <w:p w14:paraId="0CD02AC1" w14:textId="77777777" w:rsidR="00980F2B" w:rsidRPr="007B60F8" w:rsidRDefault="00980F2B" w:rsidP="009F5482">
            <w:r w:rsidRPr="007B60F8">
              <w:t>vergunningplicht</w:t>
            </w:r>
          </w:p>
        </w:tc>
      </w:tr>
      <w:tr w:rsidR="00980F2B" w:rsidRPr="007B60F8" w14:paraId="04FCB5C6" w14:textId="77777777" w:rsidTr="009F5482">
        <w:tc>
          <w:tcPr>
            <w:tcW w:w="1499" w:type="pct"/>
          </w:tcPr>
          <w:p w14:paraId="3A917810" w14:textId="77777777" w:rsidR="00980F2B" w:rsidRPr="007B60F8" w:rsidRDefault="00980F2B" w:rsidP="009F5482">
            <w:r w:rsidRPr="007B60F8">
              <w:lastRenderedPageBreak/>
              <w:t xml:space="preserve">Aanwijzen van onderwerp waarvoor het bevoegd gezag maatwerkvoorschriften kan stellen of voorschriften aan omgevingsvergunning kan verbinden </w:t>
            </w:r>
          </w:p>
        </w:tc>
        <w:tc>
          <w:tcPr>
            <w:tcW w:w="1168" w:type="pct"/>
          </w:tcPr>
          <w:p w14:paraId="79B7DAA5" w14:textId="77777777" w:rsidR="00980F2B" w:rsidRPr="007B60F8" w:rsidRDefault="00980F2B" w:rsidP="009F5482">
            <w:r w:rsidRPr="007B60F8">
              <w:t>art. 4.5 lid 1 Ow</w:t>
            </w:r>
          </w:p>
        </w:tc>
        <w:tc>
          <w:tcPr>
            <w:tcW w:w="2333" w:type="pct"/>
          </w:tcPr>
          <w:p w14:paraId="1D4BEE2B" w14:textId="77777777" w:rsidR="00980F2B" w:rsidRPr="007B60F8" w:rsidRDefault="00980F2B" w:rsidP="009F5482"/>
        </w:tc>
      </w:tr>
      <w:tr w:rsidR="00980F2B" w:rsidRPr="007B60F8" w14:paraId="54445C57" w14:textId="77777777" w:rsidTr="009F5482">
        <w:tc>
          <w:tcPr>
            <w:tcW w:w="1499" w:type="pct"/>
          </w:tcPr>
          <w:p w14:paraId="6DD631B6" w14:textId="77777777" w:rsidR="00980F2B" w:rsidRPr="007B60F8" w:rsidRDefault="00980F2B" w:rsidP="009F5482">
            <w:r w:rsidRPr="007B60F8">
              <w:t xml:space="preserve">Bepalen dat maatwerkvoorschriften of vergunningvoorschriften kunnen afwijken van regels omgevingsplan </w:t>
            </w:r>
          </w:p>
        </w:tc>
        <w:tc>
          <w:tcPr>
            <w:tcW w:w="1168" w:type="pct"/>
          </w:tcPr>
          <w:p w14:paraId="4D3E0994" w14:textId="77777777" w:rsidR="00980F2B" w:rsidRPr="007B60F8" w:rsidRDefault="00980F2B" w:rsidP="009F5482">
            <w:r w:rsidRPr="007B60F8">
              <w:t>art. 4.5 lid 2 Ow</w:t>
            </w:r>
          </w:p>
        </w:tc>
        <w:tc>
          <w:tcPr>
            <w:tcW w:w="2333" w:type="pct"/>
          </w:tcPr>
          <w:p w14:paraId="60025359" w14:textId="77777777" w:rsidR="00980F2B" w:rsidRPr="007B60F8" w:rsidRDefault="00980F2B" w:rsidP="009F5482"/>
        </w:tc>
      </w:tr>
      <w:tr w:rsidR="00980F2B" w:rsidRPr="007B60F8" w14:paraId="500C3A14" w14:textId="77777777" w:rsidTr="009F5482">
        <w:tc>
          <w:tcPr>
            <w:tcW w:w="1499" w:type="pct"/>
          </w:tcPr>
          <w:p w14:paraId="5D975BBB" w14:textId="77777777" w:rsidR="00980F2B" w:rsidRPr="007B60F8" w:rsidRDefault="00980F2B" w:rsidP="009F5482">
            <w:r w:rsidRPr="007B60F8">
              <w:t>Bepalen dat maatwerkvoorschrift niet kan worden gesteld als over onderwerp voorschrift aan omgevingsvergunning kan worden verbonden</w:t>
            </w:r>
          </w:p>
        </w:tc>
        <w:tc>
          <w:tcPr>
            <w:tcW w:w="1168" w:type="pct"/>
          </w:tcPr>
          <w:p w14:paraId="12A704E1" w14:textId="77777777" w:rsidR="00980F2B" w:rsidRPr="007B60F8" w:rsidRDefault="00980F2B" w:rsidP="009F5482">
            <w:r w:rsidRPr="007B60F8">
              <w:t>art. 4.5 lid 3 Ow</w:t>
            </w:r>
          </w:p>
        </w:tc>
        <w:tc>
          <w:tcPr>
            <w:tcW w:w="2333" w:type="pct"/>
          </w:tcPr>
          <w:p w14:paraId="2C72ED74" w14:textId="77777777" w:rsidR="00980F2B" w:rsidRPr="007B60F8" w:rsidRDefault="00980F2B" w:rsidP="009F5482"/>
        </w:tc>
      </w:tr>
      <w:tr w:rsidR="00980F2B" w:rsidRPr="007B60F8" w14:paraId="7F8BE900" w14:textId="77777777" w:rsidTr="009F5482">
        <w:tc>
          <w:tcPr>
            <w:tcW w:w="1499" w:type="pct"/>
          </w:tcPr>
          <w:p w14:paraId="001D014A" w14:textId="77777777" w:rsidR="00980F2B" w:rsidRPr="007B60F8" w:rsidRDefault="00980F2B" w:rsidP="009F5482">
            <w:r w:rsidRPr="007B60F8">
              <w:t xml:space="preserve">Stellen van maatwerkregels </w:t>
            </w:r>
          </w:p>
        </w:tc>
        <w:tc>
          <w:tcPr>
            <w:tcW w:w="1168" w:type="pct"/>
          </w:tcPr>
          <w:p w14:paraId="73C71632" w14:textId="77777777" w:rsidR="00980F2B" w:rsidRPr="007B60F8" w:rsidRDefault="00980F2B" w:rsidP="009F5482">
            <w:r w:rsidRPr="007B60F8">
              <w:t>art. 4.6 Ow</w:t>
            </w:r>
          </w:p>
        </w:tc>
        <w:tc>
          <w:tcPr>
            <w:tcW w:w="2333" w:type="pct"/>
          </w:tcPr>
          <w:p w14:paraId="37AB83B6" w14:textId="77777777" w:rsidR="00980F2B" w:rsidRPr="007B60F8" w:rsidRDefault="00980F2B" w:rsidP="009F5482">
            <w:r w:rsidRPr="007B60F8">
              <w:t>Maatwerkregels: aanvullende of nadere regels of regels die afwijken van regels uit AMvB of omgevingsverordening over onderwerpen die in AMvB of omgevingsverordening daarvoor zijn aangewezen</w:t>
            </w:r>
          </w:p>
          <w:p w14:paraId="49E8B59B" w14:textId="77777777" w:rsidR="00980F2B" w:rsidRPr="007B60F8" w:rsidRDefault="00980F2B" w:rsidP="009F5482">
            <w:r w:rsidRPr="007B60F8">
              <w:rPr>
                <w:rFonts w:eastAsia="Verdana"/>
              </w:rPr>
              <w:t>NB: maatwerkregels kunnen afwijken van regels uit AMvB of omgevingsverordening, maar alleen als dat in AMvB of verordening is bepaald.</w:t>
            </w:r>
          </w:p>
        </w:tc>
      </w:tr>
      <w:tr w:rsidR="00980F2B" w:rsidRPr="007B60F8" w14:paraId="16C4F766" w14:textId="77777777" w:rsidTr="009F5482">
        <w:tc>
          <w:tcPr>
            <w:tcW w:w="1499" w:type="pct"/>
          </w:tcPr>
          <w:p w14:paraId="3576A235" w14:textId="77777777" w:rsidR="00980F2B" w:rsidRPr="007B60F8" w:rsidRDefault="00980F2B" w:rsidP="009F5482">
            <w:r w:rsidRPr="007B60F8">
              <w:t xml:space="preserve">Voorschrijven dat een maatregel moet worden getroffen </w:t>
            </w:r>
          </w:p>
        </w:tc>
        <w:tc>
          <w:tcPr>
            <w:tcW w:w="1168" w:type="pct"/>
          </w:tcPr>
          <w:p w14:paraId="233992D0" w14:textId="77777777" w:rsidR="00980F2B" w:rsidRPr="007B60F8" w:rsidRDefault="00980F2B" w:rsidP="009F5482">
            <w:r w:rsidRPr="007B60F8">
              <w:t>art. 4.7 lid 1 Ow</w:t>
            </w:r>
          </w:p>
        </w:tc>
        <w:tc>
          <w:tcPr>
            <w:tcW w:w="2333" w:type="pct"/>
          </w:tcPr>
          <w:p w14:paraId="72C1FAF1" w14:textId="77777777" w:rsidR="00980F2B" w:rsidRPr="007B60F8" w:rsidRDefault="00980F2B" w:rsidP="009F5482"/>
        </w:tc>
      </w:tr>
      <w:tr w:rsidR="00980F2B" w:rsidRPr="007B60F8" w14:paraId="0B94D21C" w14:textId="77777777" w:rsidTr="009F5482">
        <w:tc>
          <w:tcPr>
            <w:tcW w:w="1499" w:type="pct"/>
          </w:tcPr>
          <w:p w14:paraId="1D53C3AC" w14:textId="77777777" w:rsidR="00980F2B" w:rsidRPr="007B60F8" w:rsidRDefault="00980F2B" w:rsidP="009F5482">
            <w:r w:rsidRPr="007B60F8">
              <w:t xml:space="preserve">Bepalen dat treffen gelijkwaardige maatregel is toegestaan zonder voorafgaande toestemming </w:t>
            </w:r>
          </w:p>
        </w:tc>
        <w:tc>
          <w:tcPr>
            <w:tcW w:w="1168" w:type="pct"/>
          </w:tcPr>
          <w:p w14:paraId="31865921" w14:textId="77777777" w:rsidR="00980F2B" w:rsidRPr="007B60F8" w:rsidRDefault="00980F2B" w:rsidP="009F5482">
            <w:r w:rsidRPr="007B60F8">
              <w:t>art. 4. 7 lid 2 Ow</w:t>
            </w:r>
          </w:p>
        </w:tc>
        <w:tc>
          <w:tcPr>
            <w:tcW w:w="2333" w:type="pct"/>
          </w:tcPr>
          <w:p w14:paraId="0A1610F2" w14:textId="77777777" w:rsidR="00980F2B" w:rsidRPr="007B60F8" w:rsidRDefault="00980F2B" w:rsidP="009F5482"/>
        </w:tc>
      </w:tr>
      <w:tr w:rsidR="00980F2B" w:rsidRPr="007B60F8" w14:paraId="235CA11B" w14:textId="77777777" w:rsidTr="009F5482">
        <w:tc>
          <w:tcPr>
            <w:tcW w:w="1499" w:type="pct"/>
          </w:tcPr>
          <w:p w14:paraId="674D2681" w14:textId="77777777" w:rsidR="00980F2B" w:rsidRPr="007B60F8" w:rsidRDefault="00980F2B" w:rsidP="009F5482">
            <w:r w:rsidRPr="007B60F8">
              <w:t xml:space="preserve">Verbod om gelijkwaardige maatregel toe te passen zonder voorafgaande melding </w:t>
            </w:r>
          </w:p>
        </w:tc>
        <w:tc>
          <w:tcPr>
            <w:tcW w:w="1168" w:type="pct"/>
          </w:tcPr>
          <w:p w14:paraId="15CB14C2" w14:textId="77777777" w:rsidR="00980F2B" w:rsidRPr="007B60F8" w:rsidRDefault="00980F2B" w:rsidP="009F5482">
            <w:r w:rsidRPr="007B60F8">
              <w:t>art. 4. 7 lid 2 Ow</w:t>
            </w:r>
          </w:p>
        </w:tc>
        <w:tc>
          <w:tcPr>
            <w:tcW w:w="2333" w:type="pct"/>
          </w:tcPr>
          <w:p w14:paraId="2AE80D8D" w14:textId="77777777" w:rsidR="00980F2B" w:rsidRPr="007B60F8" w:rsidRDefault="00980F2B" w:rsidP="009F5482">
            <w:r w:rsidRPr="007B60F8">
              <w:t>Meldingsplicht</w:t>
            </w:r>
          </w:p>
        </w:tc>
      </w:tr>
      <w:tr w:rsidR="00980F2B" w:rsidRPr="007B60F8" w14:paraId="4880E767" w14:textId="77777777" w:rsidTr="009F5482">
        <w:tc>
          <w:tcPr>
            <w:tcW w:w="1499" w:type="pct"/>
          </w:tcPr>
          <w:p w14:paraId="339D5C34" w14:textId="77777777" w:rsidR="00980F2B" w:rsidRPr="007B60F8" w:rsidRDefault="00980F2B" w:rsidP="009F5482">
            <w:r w:rsidRPr="007B60F8">
              <w:lastRenderedPageBreak/>
              <w:t xml:space="preserve">Stellen van nadere regels over treffen maatregel of gelijkwaardige maatregel </w:t>
            </w:r>
          </w:p>
        </w:tc>
        <w:tc>
          <w:tcPr>
            <w:tcW w:w="1168" w:type="pct"/>
          </w:tcPr>
          <w:p w14:paraId="36E71719" w14:textId="77777777" w:rsidR="00980F2B" w:rsidRPr="007B60F8" w:rsidRDefault="00980F2B" w:rsidP="009F5482">
            <w:r w:rsidRPr="007B60F8">
              <w:t>art. 4.7 lid 3 Ow</w:t>
            </w:r>
          </w:p>
        </w:tc>
        <w:tc>
          <w:tcPr>
            <w:tcW w:w="2333" w:type="pct"/>
          </w:tcPr>
          <w:p w14:paraId="5A6DFC9D" w14:textId="77777777" w:rsidR="00980F2B" w:rsidRPr="007B60F8" w:rsidRDefault="00980F2B" w:rsidP="009F5482"/>
        </w:tc>
      </w:tr>
      <w:tr w:rsidR="00980F2B" w:rsidRPr="007B60F8" w14:paraId="590667A3" w14:textId="77777777" w:rsidTr="009F5482">
        <w:tc>
          <w:tcPr>
            <w:tcW w:w="1499" w:type="pct"/>
          </w:tcPr>
          <w:p w14:paraId="143A487E" w14:textId="77777777" w:rsidR="00980F2B" w:rsidRPr="007B60F8" w:rsidRDefault="00980F2B" w:rsidP="009F5482">
            <w:r w:rsidRPr="007B60F8">
              <w:t xml:space="preserve">Uitsluiten dat gelijkwaardige maatregel wordt getroffen </w:t>
            </w:r>
          </w:p>
        </w:tc>
        <w:tc>
          <w:tcPr>
            <w:tcW w:w="1168" w:type="pct"/>
          </w:tcPr>
          <w:p w14:paraId="1AFBB6BC" w14:textId="77777777" w:rsidR="00980F2B" w:rsidRPr="007B60F8" w:rsidRDefault="00980F2B" w:rsidP="009F5482">
            <w:r w:rsidRPr="007B60F8">
              <w:t>art. 4.7 lid 3 Ow</w:t>
            </w:r>
          </w:p>
        </w:tc>
        <w:tc>
          <w:tcPr>
            <w:tcW w:w="2333" w:type="pct"/>
          </w:tcPr>
          <w:p w14:paraId="459DFD2C" w14:textId="77777777" w:rsidR="00980F2B" w:rsidRPr="007B60F8" w:rsidRDefault="00980F2B" w:rsidP="009F5482"/>
        </w:tc>
      </w:tr>
      <w:tr w:rsidR="00980F2B" w:rsidRPr="007B60F8" w14:paraId="565F3622" w14:textId="77777777" w:rsidTr="009F5482">
        <w:tc>
          <w:tcPr>
            <w:tcW w:w="1499" w:type="pct"/>
          </w:tcPr>
          <w:p w14:paraId="65C2AC35" w14:textId="77777777" w:rsidR="00980F2B" w:rsidRPr="007B60F8" w:rsidRDefault="00980F2B" w:rsidP="009F5482">
            <w:r w:rsidRPr="007B60F8">
              <w:t xml:space="preserve">Voorbeschermingsregels </w:t>
            </w:r>
          </w:p>
        </w:tc>
        <w:tc>
          <w:tcPr>
            <w:tcW w:w="1168" w:type="pct"/>
          </w:tcPr>
          <w:p w14:paraId="78555ED8" w14:textId="77777777" w:rsidR="00980F2B" w:rsidRPr="007B60F8" w:rsidRDefault="00980F2B" w:rsidP="009F5482">
            <w:r w:rsidRPr="007B60F8">
              <w:t>art. 4.14 en 4.16 Ow</w:t>
            </w:r>
          </w:p>
        </w:tc>
        <w:tc>
          <w:tcPr>
            <w:tcW w:w="2333" w:type="pct"/>
          </w:tcPr>
          <w:p w14:paraId="7E246C64" w14:textId="77777777" w:rsidR="00980F2B" w:rsidRPr="007B60F8" w:rsidRDefault="00980F2B" w:rsidP="009F5482">
            <w:r w:rsidRPr="007B60F8">
              <w:t>NB het predicaat voorbeschermingsregels zegt niets over de inhoud van de regel, wel over totstandkoming, bevoegd gezag dat regel heeft toegevoegd en de tijdelijkheid van de regel</w:t>
            </w:r>
          </w:p>
        </w:tc>
      </w:tr>
      <w:tr w:rsidR="00980F2B" w:rsidRPr="007B60F8" w14:paraId="38019220" w14:textId="77777777" w:rsidTr="009F5482">
        <w:tc>
          <w:tcPr>
            <w:tcW w:w="1499" w:type="pct"/>
          </w:tcPr>
          <w:p w14:paraId="1DAC8F4B" w14:textId="77777777" w:rsidR="00980F2B" w:rsidRPr="007B60F8" w:rsidRDefault="00980F2B" w:rsidP="009F5482">
            <w:r w:rsidRPr="007B60F8">
              <w:t xml:space="preserve">Aanwijzen van locaties waar aanwezige bouwwerken moeten worden gemoderniseerd of vervangen door gelijksoortige bebouwing </w:t>
            </w:r>
          </w:p>
        </w:tc>
        <w:tc>
          <w:tcPr>
            <w:tcW w:w="1168" w:type="pct"/>
          </w:tcPr>
          <w:p w14:paraId="0001FB07" w14:textId="77777777" w:rsidR="00980F2B" w:rsidRPr="007B60F8" w:rsidRDefault="00980F2B" w:rsidP="009F5482">
            <w:r w:rsidRPr="007B60F8">
              <w:t>art. 4.18 Ow</w:t>
            </w:r>
          </w:p>
        </w:tc>
        <w:tc>
          <w:tcPr>
            <w:tcW w:w="2333" w:type="pct"/>
          </w:tcPr>
          <w:p w14:paraId="6707F9A8" w14:textId="77777777" w:rsidR="00980F2B" w:rsidRPr="007B60F8" w:rsidRDefault="00980F2B" w:rsidP="009F5482">
            <w:r w:rsidRPr="007B60F8">
              <w:t>Uitgangspunt: dit is vorm van toedeling van functie aan locatie (MvT)</w:t>
            </w:r>
          </w:p>
        </w:tc>
      </w:tr>
      <w:tr w:rsidR="00980F2B" w:rsidRPr="007B60F8" w14:paraId="5880FADC" w14:textId="77777777" w:rsidTr="009F5482">
        <w:tc>
          <w:tcPr>
            <w:tcW w:w="1499" w:type="pct"/>
          </w:tcPr>
          <w:p w14:paraId="2F4FB323" w14:textId="77777777" w:rsidR="00980F2B" w:rsidRPr="007B60F8" w:rsidRDefault="00980F2B" w:rsidP="009F5482">
            <w:r w:rsidRPr="007B60F8">
              <w:t xml:space="preserve">Regels over uiterlijk van bouwwerken </w:t>
            </w:r>
          </w:p>
        </w:tc>
        <w:tc>
          <w:tcPr>
            <w:tcW w:w="1168" w:type="pct"/>
          </w:tcPr>
          <w:p w14:paraId="1F981391" w14:textId="77777777" w:rsidR="00980F2B" w:rsidRPr="007B60F8" w:rsidRDefault="00980F2B" w:rsidP="009F5482">
            <w:r w:rsidRPr="007B60F8">
              <w:t>art. 4.19 Ow</w:t>
            </w:r>
          </w:p>
        </w:tc>
        <w:tc>
          <w:tcPr>
            <w:tcW w:w="2333" w:type="pct"/>
          </w:tcPr>
          <w:p w14:paraId="283370F4" w14:textId="77777777" w:rsidR="00980F2B" w:rsidRPr="007B60F8" w:rsidRDefault="00980F2B" w:rsidP="009F5482"/>
        </w:tc>
      </w:tr>
      <w:tr w:rsidR="00980F2B" w:rsidRPr="007B60F8" w14:paraId="7B1F6465" w14:textId="77777777" w:rsidTr="009F5482">
        <w:tc>
          <w:tcPr>
            <w:tcW w:w="1499" w:type="pct"/>
          </w:tcPr>
          <w:p w14:paraId="6724A8EE" w14:textId="77777777" w:rsidR="00980F2B" w:rsidRPr="007B60F8" w:rsidRDefault="00980F2B" w:rsidP="009F5482">
            <w:r w:rsidRPr="007B60F8">
              <w:t xml:space="preserve">In afwijking van AMvB bepalen dat activiteit vergunningplichtig dan wel vergunningvrij is in gevallen waarin dat o.g.v. AMvB is toegestaan </w:t>
            </w:r>
          </w:p>
        </w:tc>
        <w:tc>
          <w:tcPr>
            <w:tcW w:w="1168" w:type="pct"/>
          </w:tcPr>
          <w:p w14:paraId="04719898" w14:textId="77777777" w:rsidR="00980F2B" w:rsidRPr="007B60F8" w:rsidRDefault="00980F2B" w:rsidP="009F5482">
            <w:r w:rsidRPr="007B60F8">
              <w:t>art. 5.2 lid 1 Ow</w:t>
            </w:r>
          </w:p>
        </w:tc>
        <w:tc>
          <w:tcPr>
            <w:tcW w:w="2333" w:type="pct"/>
          </w:tcPr>
          <w:p w14:paraId="14F7A270" w14:textId="77777777" w:rsidR="00980F2B" w:rsidRPr="007B60F8" w:rsidRDefault="00980F2B" w:rsidP="009F5482"/>
        </w:tc>
      </w:tr>
      <w:tr w:rsidR="00980F2B" w:rsidRPr="007B60F8" w14:paraId="763744F7" w14:textId="77777777" w:rsidTr="009F5482">
        <w:tc>
          <w:tcPr>
            <w:tcW w:w="1499" w:type="pct"/>
          </w:tcPr>
          <w:p w14:paraId="7E5B825B" w14:textId="77777777" w:rsidR="00980F2B" w:rsidRPr="007B60F8" w:rsidRDefault="00980F2B" w:rsidP="009F5482">
            <w:r w:rsidRPr="007B60F8">
              <w:t xml:space="preserve">Regels over het verlenen of weigeren van de omgevingsvergunning voor de omgevingsplanactiviteit </w:t>
            </w:r>
          </w:p>
        </w:tc>
        <w:tc>
          <w:tcPr>
            <w:tcW w:w="1168" w:type="pct"/>
          </w:tcPr>
          <w:p w14:paraId="17A4CD14" w14:textId="77777777" w:rsidR="00980F2B" w:rsidRPr="007B60F8" w:rsidRDefault="00980F2B" w:rsidP="009F5482">
            <w:r w:rsidRPr="007B60F8">
              <w:t>art. 5.21 jo 5.18 Ow</w:t>
            </w:r>
          </w:p>
        </w:tc>
        <w:tc>
          <w:tcPr>
            <w:tcW w:w="2333" w:type="pct"/>
          </w:tcPr>
          <w:p w14:paraId="285C4106" w14:textId="77777777" w:rsidR="00980F2B" w:rsidRPr="007B60F8" w:rsidRDefault="00980F2B" w:rsidP="009F5482">
            <w:r w:rsidRPr="007B60F8">
              <w:t>Beoordelingsregels</w:t>
            </w:r>
          </w:p>
        </w:tc>
      </w:tr>
      <w:tr w:rsidR="00980F2B" w:rsidRPr="007B60F8" w14:paraId="23AC9F3A" w14:textId="77777777" w:rsidTr="009F5482">
        <w:tc>
          <w:tcPr>
            <w:tcW w:w="1499" w:type="pct"/>
          </w:tcPr>
          <w:p w14:paraId="415DA401" w14:textId="77777777" w:rsidR="00980F2B" w:rsidRPr="007B60F8" w:rsidRDefault="00980F2B" w:rsidP="009F5482">
            <w:r w:rsidRPr="007B60F8">
              <w:t xml:space="preserve">Regels over verbinden van voorschriften aan omgevingsvergunning voor omgevingsplanactiviteit </w:t>
            </w:r>
          </w:p>
        </w:tc>
        <w:tc>
          <w:tcPr>
            <w:tcW w:w="1168" w:type="pct"/>
          </w:tcPr>
          <w:p w14:paraId="40697FF9" w14:textId="77777777" w:rsidR="00980F2B" w:rsidRPr="007B60F8" w:rsidRDefault="00980F2B" w:rsidP="009F5482">
            <w:r w:rsidRPr="007B60F8">
              <w:t>art. 5.34 lid 3 Ow</w:t>
            </w:r>
          </w:p>
        </w:tc>
        <w:tc>
          <w:tcPr>
            <w:tcW w:w="2333" w:type="pct"/>
          </w:tcPr>
          <w:p w14:paraId="2A5F437B" w14:textId="77777777" w:rsidR="00980F2B" w:rsidRPr="007B60F8" w:rsidRDefault="00980F2B" w:rsidP="009F5482"/>
        </w:tc>
      </w:tr>
      <w:tr w:rsidR="00980F2B" w:rsidRPr="007B60F8" w14:paraId="7ACD006E" w14:textId="77777777" w:rsidTr="009F5482">
        <w:tc>
          <w:tcPr>
            <w:tcW w:w="1499" w:type="pct"/>
          </w:tcPr>
          <w:p w14:paraId="306529DF" w14:textId="77777777" w:rsidR="00980F2B" w:rsidRPr="007B60F8" w:rsidRDefault="00980F2B" w:rsidP="009F5482">
            <w:r w:rsidRPr="007B60F8">
              <w:t>Regels over kostenverhaal</w:t>
            </w:r>
          </w:p>
        </w:tc>
        <w:tc>
          <w:tcPr>
            <w:tcW w:w="1168" w:type="pct"/>
          </w:tcPr>
          <w:p w14:paraId="34041386" w14:textId="77777777" w:rsidR="00980F2B" w:rsidRPr="007B60F8" w:rsidRDefault="00980F2B" w:rsidP="009F5482">
            <w:r w:rsidRPr="007B60F8">
              <w:t>art. 13.14 Ow, via Aanvullingswet grondeigendom)</w:t>
            </w:r>
          </w:p>
        </w:tc>
        <w:tc>
          <w:tcPr>
            <w:tcW w:w="2333" w:type="pct"/>
          </w:tcPr>
          <w:p w14:paraId="1B6DC869" w14:textId="77777777" w:rsidR="00980F2B" w:rsidRPr="007B60F8" w:rsidRDefault="00980F2B" w:rsidP="009F5482">
            <w:r w:rsidRPr="007B60F8">
              <w:t>Kostenverhaalregels</w:t>
            </w:r>
          </w:p>
          <w:p w14:paraId="5DAE179E" w14:textId="77777777" w:rsidR="00980F2B" w:rsidRPr="007B60F8" w:rsidRDefault="00980F2B" w:rsidP="009F5482"/>
        </w:tc>
      </w:tr>
      <w:tr w:rsidR="00980F2B" w:rsidRPr="007B60F8" w14:paraId="4C390118" w14:textId="77777777" w:rsidTr="009F5482">
        <w:tc>
          <w:tcPr>
            <w:tcW w:w="1499" w:type="pct"/>
          </w:tcPr>
          <w:p w14:paraId="25967BB7" w14:textId="77777777" w:rsidR="00980F2B" w:rsidRPr="007B60F8" w:rsidRDefault="00980F2B" w:rsidP="009F5482">
            <w:r w:rsidRPr="007B60F8">
              <w:lastRenderedPageBreak/>
              <w:t xml:space="preserve">Aanwijzen van bestuursorganen en andere instanties die advies kunnen uitbrengen over aanvragen om omgevingsvergunning voor omgevingsplanactiviteit </w:t>
            </w:r>
          </w:p>
        </w:tc>
        <w:tc>
          <w:tcPr>
            <w:tcW w:w="1168" w:type="pct"/>
          </w:tcPr>
          <w:p w14:paraId="1914E9C9" w14:textId="77777777" w:rsidR="00980F2B" w:rsidRPr="007B60F8" w:rsidRDefault="00980F2B" w:rsidP="009F5482">
            <w:r w:rsidRPr="007B60F8">
              <w:t>art. 16.15 lid 2 Ow</w:t>
            </w:r>
          </w:p>
        </w:tc>
        <w:tc>
          <w:tcPr>
            <w:tcW w:w="2333" w:type="pct"/>
          </w:tcPr>
          <w:p w14:paraId="52597060" w14:textId="77777777" w:rsidR="00980F2B" w:rsidRPr="007B60F8" w:rsidRDefault="00980F2B" w:rsidP="009F5482"/>
        </w:tc>
      </w:tr>
      <w:tr w:rsidR="00980F2B" w:rsidRPr="007B60F8" w14:paraId="67500577" w14:textId="77777777" w:rsidTr="009F5482">
        <w:tc>
          <w:tcPr>
            <w:tcW w:w="1499" w:type="pct"/>
          </w:tcPr>
          <w:p w14:paraId="41EBD6FA" w14:textId="77777777" w:rsidR="00980F2B" w:rsidRPr="007B60F8" w:rsidRDefault="00980F2B" w:rsidP="009F5482">
            <w:r w:rsidRPr="007B60F8">
              <w:t xml:space="preserve">Regels over bij aanvraag om omgevingsvergunning voor omgevingsplanactiviteit te verstrekken gegevens en bescheiden </w:t>
            </w:r>
          </w:p>
        </w:tc>
        <w:tc>
          <w:tcPr>
            <w:tcW w:w="1168" w:type="pct"/>
          </w:tcPr>
          <w:p w14:paraId="0FA305D2" w14:textId="77777777" w:rsidR="00980F2B" w:rsidRPr="007B60F8" w:rsidRDefault="00980F2B" w:rsidP="009F5482">
            <w:r w:rsidRPr="007B60F8">
              <w:t>art. 16.55 lid 4 Ow</w:t>
            </w:r>
          </w:p>
        </w:tc>
        <w:tc>
          <w:tcPr>
            <w:tcW w:w="2333" w:type="pct"/>
          </w:tcPr>
          <w:p w14:paraId="7C230A53" w14:textId="77777777" w:rsidR="00980F2B" w:rsidRPr="007B60F8" w:rsidRDefault="00980F2B" w:rsidP="009F5482"/>
        </w:tc>
      </w:tr>
      <w:tr w:rsidR="00980F2B" w:rsidRPr="007B60F8" w14:paraId="403184CD" w14:textId="77777777" w:rsidTr="009F5482">
        <w:tc>
          <w:tcPr>
            <w:tcW w:w="1499" w:type="pct"/>
          </w:tcPr>
          <w:p w14:paraId="03EE950E" w14:textId="77777777" w:rsidR="00980F2B" w:rsidRPr="007B60F8" w:rsidRDefault="00980F2B" w:rsidP="009F5482">
            <w:r w:rsidRPr="007B60F8">
              <w:t xml:space="preserve">Regels over monitoring </w:t>
            </w:r>
          </w:p>
        </w:tc>
        <w:tc>
          <w:tcPr>
            <w:tcW w:w="1168" w:type="pct"/>
          </w:tcPr>
          <w:p w14:paraId="72D8DFFF" w14:textId="77777777" w:rsidR="00980F2B" w:rsidRPr="007B60F8" w:rsidRDefault="00980F2B" w:rsidP="009F5482">
            <w:r w:rsidRPr="007B60F8">
              <w:t>artt. 20.1 lid 3, 20.2, 20.14 lid 2 Ow</w:t>
            </w:r>
          </w:p>
        </w:tc>
        <w:tc>
          <w:tcPr>
            <w:tcW w:w="2333" w:type="pct"/>
          </w:tcPr>
          <w:p w14:paraId="05163665" w14:textId="77777777" w:rsidR="00980F2B" w:rsidRPr="007B60F8" w:rsidRDefault="00980F2B" w:rsidP="009F5482"/>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