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EF9B" w14:textId="77777777" w:rsidR="00895AFB" w:rsidRPr="00F62F31" w:rsidRDefault="00895AFB" w:rsidP="00895AFB">
      <w:pPr>
        <w:pStyle w:val="Kop4"/>
      </w:pPr>
      <w:r w:rsidRPr="00EA6ACD">
        <w:t>Beoogde werking van meervoudig bronhouderschap</w:t>
      </w:r>
    </w:p>
    <w:p w14:paraId="36F5C910" w14:textId="14254887" w:rsidR="009957D4" w:rsidRDefault="00895AFB" w:rsidP="00895AFB">
      <w:r w:rsidRPr="003F0952">
        <w:t>In het algemeen is een bestuursorgaan verantwoordelijk voor het vaststellen en wijzigen van het omgevingsdocument waarvoor het op grond van de Omgevingswet is aangewezen als bevoegd gezag en worden omgevingsdocumenten alleen gewijzigd door wijzigingsbesluiten van hetzelfde type. In het geval van het omgevingsplan berust die bevoegdheid primair bij de gemeente, maar zijn er ook andere bestuursorganen</w:t>
      </w:r>
      <w:r>
        <w:t>, van andere bestuurslagen,</w:t>
      </w:r>
      <w:r w:rsidRPr="003F0952">
        <w:t xml:space="preserve"> die andere typen besluiten nemen die leiden tot wijziging van het omgevingsplan</w:t>
      </w:r>
      <w:r>
        <w:t>:</w:t>
      </w:r>
    </w:p>
    <w:p w14:paraId="3E10E69B" w14:textId="0E2F3944" w:rsidR="00895AFB" w:rsidRDefault="00895AFB" w:rsidP="00895AFB">
      <w:pPr>
        <w:pStyle w:val="Opsommingtekens1"/>
      </w:pPr>
      <w:r>
        <w:t>g</w:t>
      </w:r>
      <w:r w:rsidRPr="003F0952">
        <w:t xml:space="preserve">edeputeerde </w:t>
      </w:r>
      <w:r>
        <w:t>s</w:t>
      </w:r>
      <w:r w:rsidRPr="003F0952">
        <w:t xml:space="preserve">taten </w:t>
      </w:r>
      <w:r w:rsidRPr="00660B2F">
        <w:t xml:space="preserve">kunnen </w:t>
      </w:r>
      <w:r w:rsidRPr="003F0952">
        <w:t>met een reactieve interventie besluiten dat een onderdeel van een besluit tot vaststelling of wijziging van het omgevingsplan geen deel van het omgevingsplan uitmaakt</w:t>
      </w:r>
      <w:r>
        <w:rPr>
          <w:rStyle w:val="Voetnootmarkering"/>
        </w:rPr>
        <w:footnoteReference w:id="9"/>
      </w:r>
      <w:r>
        <w:t>;</w:t>
      </w:r>
    </w:p>
    <w:p w14:paraId="296B932A" w14:textId="77777777" w:rsidR="00895AFB" w:rsidRDefault="00895AFB" w:rsidP="00895AFB">
      <w:pPr>
        <w:pStyle w:val="Opsommingtekens1"/>
      </w:pPr>
      <w:r>
        <w:t xml:space="preserve">bestuursorganen van provincie en Rijk kunnen een </w:t>
      </w:r>
      <w:r w:rsidRPr="00196CF6">
        <w:t xml:space="preserve">voorbereidingsbesluit </w:t>
      </w:r>
      <w:r>
        <w:t xml:space="preserve">nemen dat het </w:t>
      </w:r>
      <w:r w:rsidRPr="001D3D00">
        <w:t xml:space="preserve">omgevingsplan </w:t>
      </w:r>
      <w:r w:rsidRPr="00196CF6">
        <w:t xml:space="preserve">wijzigt </w:t>
      </w:r>
      <w:r w:rsidRPr="001D3D00">
        <w:t>met voorbeschermingsregels</w:t>
      </w:r>
      <w:r>
        <w:rPr>
          <w:rStyle w:val="Voetnootmarkering"/>
        </w:rPr>
        <w:footnoteReference w:id="10"/>
      </w:r>
      <w:r>
        <w:t>;</w:t>
      </w:r>
    </w:p>
    <w:p w14:paraId="5A6AABF3" w14:textId="755C26ED" w:rsidR="009957D4" w:rsidRDefault="00895AFB" w:rsidP="00895AFB">
      <w:pPr>
        <w:pStyle w:val="Opsommingtekens1"/>
      </w:pPr>
      <w:r w:rsidRPr="00E237EA">
        <w:t xml:space="preserve">bestuursorganen van waterschap, provincie </w:t>
      </w:r>
      <w:r>
        <w:t>en</w:t>
      </w:r>
      <w:r w:rsidRPr="00E237EA">
        <w:t xml:space="preserve"> Rijk </w:t>
      </w:r>
      <w:r>
        <w:t xml:space="preserve">kunnen met een </w:t>
      </w:r>
      <w:r w:rsidRPr="003F0952">
        <w:t>projectbesluit het omgevingsplan wijzig</w:t>
      </w:r>
      <w:r>
        <w:t>en</w:t>
      </w:r>
      <w:r w:rsidRPr="003F0952">
        <w:t xml:space="preserve"> met regels die nodig zijn voor het uitvoeren en in werking hebben of in stand houden van het project</w:t>
      </w:r>
      <w:r>
        <w:rPr>
          <w:rStyle w:val="Voetnootmarkering"/>
        </w:rPr>
        <w:footnoteReference w:id="11"/>
      </w:r>
      <w:r w:rsidRPr="003F0952">
        <w:t>.</w:t>
      </w:r>
    </w:p>
    <w:p w14:paraId="63643093" w14:textId="49536DE8" w:rsidR="00895AFB" w:rsidRDefault="00895AFB" w:rsidP="00895AFB">
      <w:r>
        <w:t>Artikel 16.2 Ow bepaalt dat, t</w:t>
      </w:r>
      <w:r w:rsidRPr="00033FB6">
        <w:t>er uitvoering van artikel 19 van de Bekendmakingswet</w:t>
      </w:r>
      <w:r>
        <w:t>,</w:t>
      </w:r>
      <w:r w:rsidRPr="00033FB6">
        <w:t xml:space="preserve"> op een bestuursorgaan dat met </w:t>
      </w:r>
      <w:r>
        <w:t xml:space="preserve">een van de genoemde instrumenten </w:t>
      </w:r>
      <w:r w:rsidRPr="00033FB6">
        <w:t>een omgevingsplan wijzigt</w:t>
      </w:r>
      <w:r>
        <w:t>,</w:t>
      </w:r>
      <w:r w:rsidRPr="00033FB6">
        <w:t xml:space="preserve"> ook de verplichting </w:t>
      </w:r>
      <w:r w:rsidRPr="00412406">
        <w:t xml:space="preserve">rust </w:t>
      </w:r>
      <w:r w:rsidRPr="00033FB6">
        <w:t>om deze wijziging te verwerken in een nieuwe geconsolideerde versie van het omgevingsplan.</w:t>
      </w:r>
    </w:p>
    <w:p w14:paraId="15A86DCB" w14:textId="77777777" w:rsidR="00895AFB" w:rsidRDefault="00895AFB" w:rsidP="00895AFB"/>
    <w:p w14:paraId="07827154" w14:textId="6B4E41AA" w:rsidR="009957D4" w:rsidRDefault="00895AFB" w:rsidP="00895AFB">
      <w:r w:rsidRPr="003F0952">
        <w:lastRenderedPageBreak/>
        <w:t xml:space="preserve">De wetgever heeft reactieve interventie, voorbereidingsbesluit </w:t>
      </w:r>
      <w:r>
        <w:t xml:space="preserve">en </w:t>
      </w:r>
      <w:r w:rsidRPr="00BC1D85">
        <w:t xml:space="preserve">projectbesluit </w:t>
      </w:r>
      <w:r w:rsidRPr="003F0952">
        <w:t xml:space="preserve">zo bedoeld dat </w:t>
      </w:r>
      <w:r w:rsidRPr="000F6F27">
        <w:t xml:space="preserve">het bestuursorgaan dat </w:t>
      </w:r>
      <w:r>
        <w:t xml:space="preserve">een van die instrumenten vaststelt, </w:t>
      </w:r>
      <w:r w:rsidRPr="007070FF">
        <w:t xml:space="preserve">ook </w:t>
      </w:r>
      <w:r>
        <w:t xml:space="preserve">zelf </w:t>
      </w:r>
      <w:r w:rsidRPr="007070FF">
        <w:t>het omgevingsplan, een instrument</w:t>
      </w:r>
      <w:r>
        <w:t xml:space="preserve"> van een ander type en</w:t>
      </w:r>
      <w:r w:rsidRPr="007070FF">
        <w:t xml:space="preserve"> van een ander bevoegd gezag van een andere bestuurslaag, wijzigt</w:t>
      </w:r>
      <w:r>
        <w:t xml:space="preserve">. </w:t>
      </w:r>
      <w:r w:rsidRPr="00B847F9">
        <w:t xml:space="preserve">Technisch uitgedrukt zijn er in </w:t>
      </w:r>
      <w:r>
        <w:t>da</w:t>
      </w:r>
      <w:r w:rsidRPr="00B847F9">
        <w:t>t geval meerdere bronhouders die eenzelfde omgevingsdocument kunnen wijzigen. Dit wordt meervoudig bronhouderschap genoemd.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