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258" w:name="_Ref_eff39255df2038c78955a20cac68bea6_1"/>
      <w:r w:rsidRPr="00F1426F">
        <w:t>Toelichting op de norm</w:t>
      </w:r>
      <w:bookmarkEnd w:id="258"/>
    </w:p>
    <w:p w14:paraId="60278C84" w14:textId="229638F1"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 xml:space="preserve">ctiviteit mag dezelfde zijn als de naam van de hierna genoemde </w:t>
      </w:r>
      <w:r w:rsidR="00A048B9" w:rsidRPr="00F1426F">
        <w:lastRenderedPageBreak/>
        <w:t>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6D06BE9E"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367A0A">
        <w:rPr>
          <w:rStyle w:val="Verwijzing"/>
        </w:rPr>
        <w:t>7.6.1</w:t>
      </w:r>
      <w:r w:rsidR="00AE7F19" w:rsidRPr="00863F41">
        <w:rPr>
          <w:rStyle w:val="Verwijzing"/>
        </w:rPr>
        <w:fldChar w:fldCharType="end"/>
      </w:r>
    </w:p>
    <w:p w14:paraId="18183F6F" w14:textId="3FB493B9"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5A632F">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w:t>
      </w:r>
      <w:r w:rsidR="003A128B">
        <w:br/>
      </w:r>
      <w:r w:rsidR="00D91C05" w:rsidRPr="00863F41">
        <w:rPr>
          <w:rStyle w:val="Verwijzing"/>
        </w:rPr>
        <w:fldChar w:fldCharType="begin"/>
      </w:r>
      <w:r w:rsidR="00D91C05" w:rsidRPr="00863F41">
        <w:rPr>
          <w:rStyle w:val="Verwijzing"/>
        </w:rPr>
        <w:instrText xml:space="preserve"> REF _Ref_eff39255df2038c78955a20cac68bea6_2 \n \h </w:instrText>
      </w:r>
      <w:r w:rsidR="00D91C05" w:rsidRPr="00863F41">
        <w:rPr>
          <w:rStyle w:val="Verwijzing"/>
        </w:rPr>
      </w:r>
      <w:r w:rsidR="00D91C05" w:rsidRPr="00863F41">
        <w:rPr>
          <w:rStyle w:val="Verwijzing"/>
        </w:rPr>
        <w:fldChar w:fldCharType="separate"/>
      </w:r>
      <w:r w:rsidR="00367A0A">
        <w:rPr>
          <w:rStyle w:val="Verwijzing"/>
        </w:rPr>
        <w:t>Figuur 35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278A1E2E">
            <wp:extent cx="4667534" cy="3937000"/>
            <wp:effectExtent l="0" t="0" r="0" b="635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97421" cy="3962209"/>
                    </a:xfrm>
                    <a:prstGeom prst="rect">
                      <a:avLst/>
                    </a:prstGeom>
                    <a:noFill/>
                  </pic:spPr>
                </pic:pic>
              </a:graphicData>
            </a:graphic>
          </wp:inline>
        </w:drawing>
      </w:r>
    </w:p>
    <w:p w14:paraId="3D589BA5" w14:textId="6C46AF88" w:rsidR="00867435" w:rsidRPr="00867435" w:rsidRDefault="00867435" w:rsidP="001B3916">
      <w:pPr>
        <w:pStyle w:val="Figuurbijschrift"/>
      </w:pPr>
      <w:bookmarkStart w:id="260" w:name="_Ref_eff39255df2038c78955a20cac68bea6_2"/>
      <w:r>
        <w:t>Functionele structuur</w:t>
      </w:r>
      <w:bookmarkEnd w:id="260"/>
      <w:r w:rsidR="00680FFF">
        <w:t xml:space="preserve"> met daarin gemarkeerd de bovenliggendeActiviteit-relatie</w:t>
      </w:r>
      <w:r w:rsidR="00721C47">
        <w:t>;</w:t>
      </w:r>
      <w:r w:rsidR="002E3290">
        <w:t xml:space="preserve"> de pijl wijst van de activiteit naar de bovenliggende activiteit</w:t>
      </w:r>
    </w:p>
    <w:p w14:paraId="2CA05E6E" w14:textId="005416E4"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vergunningcheck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speelt een rol bij de dienstverlening</w:t>
      </w:r>
      <w:r w:rsidR="00222615">
        <w:t xml:space="preserve"> (vergunningcheck in DSO-LV)</w:t>
      </w:r>
      <w:r w:rsidR="00976910">
        <w:t xml:space="preserve">, 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367A0A">
        <w:t>het omgevingsplan</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57A46A6A" w14:textId="0F6C51FE" w:rsidR="009957D4"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w:t>
      </w:r>
      <w:r w:rsidR="00365094" w:rsidRPr="00F1426F">
        <w:lastRenderedPageBreak/>
        <w:t xml:space="preserve">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6CF557FB" w14:textId="59934BD5" w:rsidR="009957D4"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p>
    <w:p w14:paraId="10F8855E" w14:textId="1B3D27E7" w:rsidR="00BE54A8" w:rsidRPr="00F1426F" w:rsidRDefault="008A6C21" w:rsidP="004671C9">
      <w:r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06894258"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0AFFD72"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2E81E317"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F4D668"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1">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61" w:name="_Ref_eff39255df2038c78955a20cac68bea6_3"/>
      <w:r w:rsidRPr="00F1426F">
        <w:t>Voorbeeld bedoeling van IMOW</w:t>
      </w:r>
      <w:r w:rsidR="004E1C01" w:rsidRPr="00F1426F">
        <w:t xml:space="preserve"> voor</w:t>
      </w:r>
      <w:r w:rsidRPr="00F1426F">
        <w:t xml:space="preserve"> </w:t>
      </w:r>
      <w:r w:rsidR="004E1C01" w:rsidRPr="00F1426F">
        <w:t>A</w:t>
      </w:r>
      <w:r w:rsidRPr="00F1426F">
        <w:t>ctiviteit</w:t>
      </w:r>
      <w:bookmarkEnd w:id="261"/>
    </w:p>
    <w:p w14:paraId="785789C7" w14:textId="49924175" w:rsidR="009957D4"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514D8D01"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201F4F3F" w:rsidR="009A6C09" w:rsidRPr="00F1426F" w:rsidRDefault="009E7353" w:rsidP="0079509D">
      <w:r w:rsidRPr="00F1426F">
        <w:lastRenderedPageBreak/>
        <w:t xml:space="preserve">Wanneer het bevoegd gezag in het voorbeeld van </w:t>
      </w:r>
      <w:r w:rsidRPr="00863F41">
        <w:rPr>
          <w:rStyle w:val="Verwijzing"/>
        </w:rPr>
        <w:fldChar w:fldCharType="begin"/>
      </w:r>
      <w:r w:rsidRPr="00863F41">
        <w:rPr>
          <w:rStyle w:val="Verwijzing"/>
        </w:rPr>
        <w:instrText xml:space="preserve"> REF _Ref_eff39255df2038c78955a20cac68bea6_3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36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0" Type="http://schemas.openxmlformats.org/officeDocument/2006/relationships/image" Target="media/image_3db3d65f9c7d9706a2aa3e25a0bdbc43.png"/><Relationship Id="rId61"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