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5492" w14:textId="77777777" w:rsidR="00D86397" w:rsidRDefault="00D86397" w:rsidP="00D86397">
      <w:pPr>
        <w:pStyle w:val="Kop5"/>
      </w:pPr>
      <w:r>
        <w:t>Voorbereiding en besluitvorming</w:t>
      </w:r>
    </w:p>
    <w:p w14:paraId="5FFFB5D5" w14:textId="124A716B" w:rsidR="00DB6623" w:rsidRDefault="00D86397" w:rsidP="00D86397">
      <w:r>
        <w:t xml:space="preserve">Na de publicatie van het ontwerpbesluit en </w:t>
      </w:r>
      <w:r w:rsidRPr="00FF1389">
        <w:t xml:space="preserve">voorafgaand aan </w:t>
      </w:r>
      <w:r>
        <w:t>de bekendmaking van het definitieve besluit vindt een extern en intern proces plaats. Er worden zienswijzen ingediend over het ontwerpbesluit, die zienswijzen worden beantwoord en wanneer er naar aanleiding van die zienswijzen aanpassingen in het omgevingsplan nodig zijn, verwerkt de gemeente die in de plansoftware.</w:t>
      </w:r>
    </w:p>
    <w:p w14:paraId="222A0F6A" w14:textId="6FEF8CBC" w:rsidR="00D86397" w:rsidRDefault="00D86397" w:rsidP="00D86397">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_Ref_7d330f03e97112cce58270941f730c03_2 \n \h </w:instrText>
      </w:r>
      <w:r>
        <w:fldChar w:fldCharType="separate"/>
      </w:r>
      <w:r w:rsidR="00367A0A">
        <w:t>4.3.2</w:t>
      </w:r>
      <w:r>
        <w:fldChar w:fldCharType="end"/>
      </w:r>
      <w:r w:rsidRPr="00950BA6">
        <w:t xml:space="preserve"> en met name de toelichting in paragraaf </w:t>
      </w:r>
      <w:r>
        <w:fldChar w:fldCharType="begin"/>
      </w:r>
      <w:r>
        <w:instrText xml:space="preserve"> REF _Ref_92b04ec8717d41e08535d917eb178604_1 \n \h </w:instrText>
      </w:r>
      <w:r>
        <w:fldChar w:fldCharType="separate"/>
      </w:r>
      <w:r w:rsidR="00367A0A">
        <w:t>4.3.2.2</w:t>
      </w:r>
      <w:r>
        <w:fldChar w:fldCharType="end"/>
      </w:r>
      <w:r w:rsidRPr="00950BA6">
        <w:t>.</w:t>
      </w:r>
    </w:p>
    <w:p w14:paraId="429E0889" w14:textId="13FE9E83" w:rsidR="00D86397" w:rsidRDefault="00D86397" w:rsidP="00D86397">
      <w:r>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_Ref_92b04ec8717d41e08535d917eb178604_1 \n \h </w:instrText>
      </w:r>
      <w:r>
        <w:fldChar w:fldCharType="separate"/>
      </w:r>
      <w:r w:rsidR="00367A0A">
        <w:t>4.3.2.2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43BA3DFF" w14:textId="77777777" w:rsidR="00D86397" w:rsidRDefault="00D86397" w:rsidP="00D86397"/>
    <w:p w14:paraId="5AE92B63" w14:textId="77777777" w:rsidR="00D86397" w:rsidRDefault="00D86397" w:rsidP="00D86397">
      <w:r>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Deze eventuele wijzigingen worden verwerkt in de plansoftware.</w:t>
      </w:r>
    </w:p>
    <w:p w14:paraId="3E32674E" w14:textId="77777777" w:rsidR="00D86397" w:rsidRDefault="00D86397" w:rsidP="00D86397"/>
    <w:p w14:paraId="2EB1FC38" w14:textId="77777777" w:rsidR="00D86397" w:rsidRPr="00D07724" w:rsidRDefault="00D86397" w:rsidP="00D86397">
      <w:r>
        <w:t>De gemeente moet e</w:t>
      </w:r>
      <w:r w:rsidRPr="0078476B">
        <w:t>en exemplaar van het besluit toez</w:t>
      </w:r>
      <w:r>
        <w:t>e</w:t>
      </w:r>
      <w:r w:rsidRPr="0078476B">
        <w:t>nden aan degenen die over het ontwerp van het besluit zienswijzen naar voren hebben gebracht</w:t>
      </w:r>
      <w:r>
        <w:t xml:space="preserve"> en -onder bepaalde </w:t>
      </w:r>
      <w:r>
        <w:lastRenderedPageBreak/>
        <w:t>omstandigheden- aan GS</w:t>
      </w:r>
      <w:r w:rsidRPr="0078476B">
        <w:t xml:space="preserve">. De DSO-keten biedt geen ondersteuning voor deze toezending. Het is aan </w:t>
      </w:r>
      <w:r>
        <w:t xml:space="preserve">de gemeente </w:t>
      </w:r>
      <w:r w:rsidRPr="0078476B">
        <w:t>om te bepalen</w:t>
      </w:r>
      <w:r>
        <w:t xml:space="preserve"> hoe en</w:t>
      </w:r>
      <w:r w:rsidRPr="0078476B">
        <w:t xml:space="preserve"> in welke vorm </w:t>
      </w:r>
      <w:r>
        <w:t xml:space="preserve">zij </w:t>
      </w:r>
      <w:r w:rsidRPr="0078476B">
        <w:t>het besluit toezendt.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