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E598" w14:textId="77777777" w:rsidR="007978A2" w:rsidRPr="00F62F31" w:rsidRDefault="007978A2" w:rsidP="007978A2">
      <w:pPr>
        <w:pStyle w:val="Kop4"/>
      </w:pPr>
      <w:r>
        <w:t>Voorbereidingsbesluit en voorbeschermingsregels</w:t>
      </w:r>
    </w:p>
    <w:p w14:paraId="51449C55" w14:textId="77777777" w:rsidR="007978A2" w:rsidRDefault="007978A2" w:rsidP="007978A2">
      <w:r>
        <w:t>Provinciale staten kunnen voor een locatie een voorbereidingsbesluit nemen met het oog op de voorbereiding van in de omgevingsverordening te stellen regels</w:t>
      </w:r>
      <w:r>
        <w:rPr>
          <w:rStyle w:val="Voetnootmarkering"/>
        </w:rPr>
        <w:footnoteReference w:id="3"/>
      </w:r>
      <w:r>
        <w:t xml:space="preserve">. </w:t>
      </w:r>
      <w:r w:rsidRPr="00DF5A02">
        <w:t>Het voorbereidingsbesluit wijzigt de omgevingsverordening met voorbeschermingsregels</w:t>
      </w:r>
      <w:r>
        <w:rPr>
          <w:rStyle w:val="Voetnootmarkering"/>
        </w:rPr>
        <w:footnoteReference w:id="4"/>
      </w:r>
      <w:r>
        <w:t xml:space="preserve">. </w:t>
      </w:r>
      <w:r w:rsidRPr="009519EF">
        <w:t xml:space="preserve">Voorbeschermingsregels </w:t>
      </w:r>
      <w:r>
        <w:t>zijn per definitie</w:t>
      </w:r>
      <w:r w:rsidRPr="009519EF">
        <w:t xml:space="preserve"> tijdelijk: ze vervallen door het besluit </w:t>
      </w:r>
      <w:r>
        <w:t xml:space="preserve">dat de regels stelt </w:t>
      </w:r>
      <w:r w:rsidRPr="009519EF">
        <w:t>waarop het voorbereidingsbesluit de voorbereiding was of doordat de termijn waarbinnen dat besluit genomen had moeten zijn ongebruikt is verstreken</w:t>
      </w:r>
      <w:r>
        <w:rPr>
          <w:rStyle w:val="Voetnootmarkering"/>
        </w:rPr>
        <w:footnoteReference w:id="5"/>
      </w:r>
      <w:r w:rsidRPr="009519EF">
        <w:t>.</w:t>
      </w:r>
    </w:p>
    <w:p w14:paraId="1DACB5AE" w14:textId="1E864766" w:rsidR="00DC2876" w:rsidRDefault="007978A2" w:rsidP="007978A2">
      <w:r w:rsidRPr="00C06A71">
        <w:t>De wetgever heeft</w:t>
      </w:r>
      <w:r>
        <w:t xml:space="preserve"> </w:t>
      </w:r>
      <w:r w:rsidRPr="00D448DD">
        <w:t xml:space="preserve">de voorbeschermingsregels </w:t>
      </w:r>
      <w:r w:rsidRPr="00C06A71">
        <w:t>zo bedoeld dat</w:t>
      </w:r>
      <w:r>
        <w:t xml:space="preserve"> ze rechtstreeks de regels van de omgevingsverordening wijzigen. Bij het omgevingsplan is dat nog sterker: </w:t>
      </w:r>
      <w:r w:rsidRPr="00C27D7D">
        <w:t>het omgevingsplan</w:t>
      </w:r>
      <w:r>
        <w:t xml:space="preserve"> kan worden gewijzgd door </w:t>
      </w:r>
      <w:r w:rsidRPr="00B5326B">
        <w:t xml:space="preserve">een voorbereidingsbesluit </w:t>
      </w:r>
      <w:r>
        <w:t xml:space="preserve">van de gemeente zelf, maar ook door </w:t>
      </w:r>
      <w:r w:rsidRPr="00FB1251">
        <w:t xml:space="preserve">een voorbereidingsbesluit </w:t>
      </w:r>
      <w:r>
        <w:t xml:space="preserve">van provincie of Rijk, door een projectbesluit van waterschap, </w:t>
      </w:r>
      <w:r w:rsidRPr="00FB1251">
        <w:t>provincie of Rijk</w:t>
      </w:r>
      <w:r>
        <w:t xml:space="preserve"> en door </w:t>
      </w:r>
      <w:r w:rsidRPr="00B86047">
        <w:t xml:space="preserve">een reactieve interventie </w:t>
      </w:r>
      <w:r>
        <w:t xml:space="preserve">van de provincie. In die laatste gevallen, waarin een ander bestuursorgaan dan een bestuursorgaan van de gemeente het omgevingsplan wijzigt, is sprake van </w:t>
      </w:r>
      <w:r w:rsidRPr="00D92877">
        <w:t>meervoudig bronhouderschap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