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203" w:name="_Ref_adf41deb45af32473cf2b651e407300a_1"/>
      <w:r w:rsidRPr="00F1426F">
        <w:t xml:space="preserve">Toelichting op de </w:t>
      </w:r>
      <w:r w:rsidR="0070329B" w:rsidRPr="00F1426F">
        <w:t>norm</w:t>
      </w:r>
      <w:bookmarkEnd w:id="203"/>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69080BDD"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863F41">
        <w:rPr>
          <w:rStyle w:val="Verwijzing"/>
        </w:rPr>
        <w:fldChar w:fldCharType="begin"/>
      </w:r>
      <w:r w:rsidR="00FC3ADA" w:rsidRPr="00863F41">
        <w:rPr>
          <w:rStyle w:val="Verwijzing"/>
        </w:rPr>
        <w:instrText xml:space="preserve"> REF _Ref_d262b6c209d7041c1a4af620482789cb_1 </w:instrText>
      </w:r>
      <w:r w:rsidR="00917D79" w:rsidRPr="00863F41">
        <w:rPr>
          <w:rStyle w:val="Verwijzing"/>
        </w:rPr>
        <w:instrText>\n \h</w:instrText>
      </w:r>
      <w:r w:rsidR="00FC3ADA" w:rsidRPr="00863F41">
        <w:rPr>
          <w:rStyle w:val="Verwijzing"/>
        </w:rPr>
        <w:instrText xml:space="preserve"> </w:instrText>
      </w:r>
      <w:r w:rsidR="005258D5" w:rsidRPr="00863F41">
        <w:rPr>
          <w:rStyle w:val="Verwijzing"/>
        </w:rPr>
        <w:instrText xml:space="preserve"> \* MERGEFORMAT </w:instrText>
      </w:r>
      <w:r w:rsidR="00FC3ADA" w:rsidRPr="00863F41">
        <w:rPr>
          <w:rStyle w:val="Verwijzing"/>
        </w:rPr>
      </w:r>
      <w:r w:rsidR="00FC3ADA" w:rsidRPr="00863F41">
        <w:rPr>
          <w:rStyle w:val="Verwijzing"/>
        </w:rPr>
        <w:fldChar w:fldCharType="separate"/>
      </w:r>
      <w:r w:rsidR="001441C5">
        <w:rPr>
          <w:rStyle w:val="Verwijzing"/>
        </w:rPr>
        <w:t>7.3.5</w:t>
      </w:r>
      <w:r w:rsidR="00FC3ADA"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