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65FB26D7"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1441C5">
        <w:t>de omgevingsverordening</w:t>
      </w:r>
      <w:r w:rsidRPr="007B60F8">
        <w:fldChar w:fldCharType="end"/>
      </w:r>
      <w:r w:rsidRPr="00B26823">
        <w:t xml:space="preserve"> worden opgenomen voor zover provincie of Rijk voor dat specifieke beleidsveld geen omgevingswaarden hebben vastgesteld dan wel als zij bij het vaststellen </w:t>
      </w:r>
      <w:r w:rsidRPr="00B26823">
        <w:lastRenderedPageBreak/>
        <w:t>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04747D8B"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_Ref_8bacdef14252a55565596e239acc03e5_2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1441C5">
        <w:rPr>
          <w:rStyle w:val="Verwijzing"/>
        </w:rPr>
        <w:t>Figuur 38</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_Ref_8bacdef14252a55565596e239acc03e5_1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1441C5">
        <w:rPr>
          <w:rStyle w:val="Verwijzing"/>
        </w:rPr>
        <w:t>7.8.1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332F1D5E"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t>
      </w:r>
      <w:r w:rsidR="00074E22" w:rsidRPr="00F1426F">
        <w:lastRenderedPageBreak/>
        <w:t xml:space="preserve">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_Ref_06a690c883bf95ee3d8a0287e2764c45_1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1441C5">
        <w:rPr>
          <w:rStyle w:val="Verwijzing"/>
        </w:rPr>
        <w:t>7.7.5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0E9C307A"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1441C5">
        <w:rPr>
          <w:rStyle w:val="Verwijzing"/>
        </w:rPr>
        <w:t>7.3</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2627E9A3"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1441C5">
        <w:t>de omgevingsverordening</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