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7446647B"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rPr>
          <w:rStyle w:val="Eindnootmarkering"/>
        </w:rPr>
        <w:endnoteReference w:id="10"/>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1441C5">
        <w:t>7.9.1.4</w:t>
      </w:r>
      <w:r w:rsidR="00C7012C">
        <w:rPr>
          <w:rStyle w:val="Verwijzing"/>
        </w:rPr>
        <w:fldChar w:fldCharType="end"/>
      </w:r>
      <w:r w:rsidR="00D00398">
        <w:t>.</w:t>
      </w:r>
    </w:p>
    <w:p w14:paraId="130037F7" w14:textId="165ED177" w:rsidR="00205F40" w:rsidRPr="00F1426F"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w:t>
      </w:r>
      <w:r w:rsidR="002D3153">
        <w:lastRenderedPageBreak/>
        <w:t xml:space="preserve">rooilijnen weer te geven. </w:t>
      </w:r>
      <w:r w:rsidR="008F74FB">
        <w:t xml:space="preserve">Het gebruik van </w:t>
      </w:r>
      <w:r w:rsidR="00E62FB4">
        <w:t>het object Gebiedsaanwijzing in combinatie met punten ligt minder voor de hand, maar wordt niet uitgesloten.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