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51D5B4F7"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 xml:space="preserve">in het leven roepen en daar nadere regels over stellen, niet voor instructieregels </w:t>
      </w:r>
      <w:r w:rsidRPr="00F1426F">
        <w:lastRenderedPageBreak/>
        <w:t>die bepalen dat in een ander omgevingsdocument een bepaald beperkingengebied moet worden opgenomen</w:t>
      </w:r>
      <w:r w:rsidRPr="00B26823">
        <w:endnoteReference w:id="11"/>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