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9D69A4">
      <w:pPr>
        <w:pStyle w:val="Kop5"/>
      </w:pPr>
      <w:bookmarkStart w:id="365" w:name="_Ref_a0fe79db9cdee906153b7f26f41cceb7_1"/>
      <w:r>
        <w:t>Formulering besluit</w:t>
      </w:r>
      <w:r w:rsidR="00764121">
        <w:t xml:space="preserve"> bij gebruik alternatieve wijzigingsmethoden</w:t>
      </w:r>
      <w:bookmarkEnd w:id="365"/>
    </w:p>
    <w:p w14:paraId="13B78715" w14:textId="13EF9F8F"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_Ref_a0fe79db9cdee906153b7f26f41cceb7_2 \n \h </w:instrText>
      </w:r>
      <w:r w:rsidR="00A1104C">
        <w:fldChar w:fldCharType="separate"/>
      </w:r>
      <w:r w:rsidR="001441C5">
        <w:t>Figuur 49</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367" w:name="_Ref_a0fe79db9cdee906153b7f26f41cceb7_2"/>
      <w:r>
        <w:t>Voorbeeld van de tekst van een besluit bij mutatiescenario Integrale Tekstvervanging</w:t>
      </w:r>
      <w:bookmarkEnd w:id="367"/>
    </w:p>
    <w:p w14:paraId="082C923E" w14:textId="3A45E05F" w:rsidR="00EC03F8" w:rsidRPr="008A1940" w:rsidRDefault="002338BF" w:rsidP="00EC03F8">
      <w:r>
        <w:t xml:space="preserve">NB: </w:t>
      </w:r>
      <w:r w:rsidR="00EC03F8">
        <w:t xml:space="preserve">In het voorbeeld van </w:t>
      </w:r>
      <w:r w:rsidR="00A1104C">
        <w:fldChar w:fldCharType="begin"/>
      </w:r>
      <w:r w:rsidR="00A1104C">
        <w:instrText xml:space="preserve"> REF _Ref_a0fe79db9cdee906153b7f26f41cceb7_2 \n \h </w:instrText>
      </w:r>
      <w:r w:rsidR="00A1104C">
        <w:fldChar w:fldCharType="separate"/>
      </w:r>
      <w:r w:rsidR="001441C5">
        <w:t>Figuur 49</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81"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