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9848" w14:textId="48E2CF1F" w:rsidR="004503DB" w:rsidRPr="00F03DD9" w:rsidRDefault="00D9611B">
      <w:pPr>
        <w:pStyle w:val="Kop3"/>
      </w:pPr>
      <w:bookmarkStart w:id="404" w:name="_Ref_1818e45a0eef47fd63f07ee4c1d28f54_1"/>
      <w:r w:rsidRPr="00D9611B">
        <w:t>Onderdelen van de standaard die voor omgevingsdocumenten met Artikelstructuur verplicht of noodzakelijk zijn</w:t>
      </w:r>
      <w:bookmarkEnd w:id="404"/>
    </w:p>
    <w:p w14:paraId="4C1C000A" w14:textId="3B56FD85" w:rsidR="00D9611B" w:rsidRDefault="00192A60" w:rsidP="00BC1739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 xml:space="preserve">, </w:t>
      </w:r>
      <w:r w:rsidR="00F87E26">
        <w:t>aldus</w:t>
      </w:r>
      <w:r>
        <w:t xml:space="preserve"> artikel 3:40 Awb. De Bekendmakingswet stelt algemene regels over de bekendmaking. Voor omgevingsdocumenten</w:t>
      </w:r>
      <w:r>
        <w:rPr>
          <w:rStyle w:val="Voetnootmarkering"/>
        </w:rPr>
        <w:footnoteReference w:id="18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19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bronhouderkoppelvlak van de LVBB. Daarnaast is in de Omgevingswet bepaald dat omgevingsdocumenten worden ontsloten via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