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96BE9" w14:textId="77777777" w:rsidR="00E43714" w:rsidRDefault="00E43714" w:rsidP="006C3FBE">
      <w:pPr>
        <w:pStyle w:val="Kop4"/>
      </w:pPr>
      <w:bookmarkStart w:id="431" w:name="_Ref_607599e9d7c5e58da902c0001f5afc10_1"/>
      <w:r>
        <w:t>BesluitMetadata</w:t>
      </w:r>
      <w:bookmarkEnd w:id="431"/>
    </w:p>
    <w:p w14:paraId="1E9D9A7F" w14:textId="77777777" w:rsidR="00E43714" w:rsidRDefault="00E43714" w:rsidP="00E43714">
      <w:r>
        <w:t xml:space="preserve">De BesluitMetadata leggen vast welke organisatie verantwoordelijk is voor de besluitversie en bevatten gegevens om het besluit goed vindbaar te maken. In deze paragraaf zijn de BesluitMetadata beschreven die voor besluiten tot vaststelling of wijziging van omgevingsdocumenten relevant zijn. De BesluitMetadata voor het ontwerpbesluit en het definitieve besluit zijn gelijk. Aangegeven is of het gegeven verplicht of optioneel is en hoe vaak het moet of kan voorkomen. Daarnaast is bij de meeste gegevens een toelichting gegeven: hoe werkt het en wat voor effect heeft het. </w:t>
      </w:r>
      <w:r w:rsidRPr="004E5BB5">
        <w:t xml:space="preserve">Er is geen vaste, voorgeschreven volgorde voor de </w:t>
      </w:r>
      <w:r>
        <w:t>BesluitMetadata</w:t>
      </w:r>
      <w:r w:rsidRPr="004E5BB5">
        <w:t>.</w:t>
      </w:r>
    </w:p>
    <w:p w14:paraId="1F3CAD3D" w14:textId="77777777" w:rsidR="00E43714" w:rsidRDefault="00E43714" w:rsidP="00E43714"/>
    <w:p w14:paraId="75CED25A" w14:textId="77777777" w:rsidR="00E43714" w:rsidRDefault="00E43714" w:rsidP="00E43714">
      <w:pPr>
        <w:pStyle w:val="Opsommingtekens1"/>
      </w:pPr>
      <w:r w:rsidRPr="00073B3E">
        <w:rPr>
          <w:i/>
          <w:iCs/>
        </w:rPr>
        <w:t>eindverantwoordelijke</w:t>
      </w:r>
      <w:r>
        <w:t>: (d</w:t>
      </w:r>
      <w:r w:rsidRPr="0061278F">
        <w:t xml:space="preserve">e </w:t>
      </w:r>
      <w:r>
        <w:t>identificatie van) het openbaar lichaam</w:t>
      </w:r>
      <w:r w:rsidRPr="0061278F">
        <w:t xml:space="preserve"> </w:t>
      </w:r>
      <w:r>
        <w:t xml:space="preserve">dat </w:t>
      </w:r>
      <w:r w:rsidRPr="0061278F">
        <w:t xml:space="preserve">de wettelijke verantwoordelijkheid draagt voor de inhoud van </w:t>
      </w:r>
      <w:r>
        <w:t xml:space="preserve">het ontwerp- of definitief besluit. Uit de STOP-waardelijsten voor gemeente, waterschap, provincie respectievelijk ministerie moet de juiste waarde gekozen worden. Verplicht gegeven. Komt 1 keer voor. Door dit gegeven </w:t>
      </w:r>
      <w:r w:rsidRPr="001132B9">
        <w:t>wordt in de voorzieningen de naam van de gemeente</w:t>
      </w:r>
      <w:r>
        <w:t>, het waterschap, de provincie of het ministerie</w:t>
      </w:r>
      <w:r w:rsidRPr="001132B9">
        <w:t xml:space="preserve"> getoond.</w:t>
      </w:r>
    </w:p>
    <w:p w14:paraId="1A68B4B1" w14:textId="77777777" w:rsidR="00E43714" w:rsidRDefault="00E43714" w:rsidP="00E43714">
      <w:pPr>
        <w:pStyle w:val="Opsommingtekens1"/>
      </w:pPr>
      <w:r w:rsidRPr="00AD2FE5">
        <w:rPr>
          <w:i/>
          <w:iCs/>
        </w:rPr>
        <w:t>maker</w:t>
      </w:r>
      <w:r>
        <w:t xml:space="preserve">: (de identificatie van) </w:t>
      </w:r>
      <w:r w:rsidRPr="007824FA">
        <w:t xml:space="preserve">het openbaar lichaam dat </w:t>
      </w:r>
      <w:r>
        <w:t xml:space="preserve">de eindverantwoordelijkheid draagt voor het creëren van de instrumentversie. Uit de STOP-waardelijsten voor gemeente, waterschap, provincie respectievelijk ministerie moet de juiste waarde gekozen worden. Verplicht gegeven. Komt 1 keer voor. Door dit gegeven </w:t>
      </w:r>
      <w:r w:rsidRPr="001132B9">
        <w:t>wordt in de voorzieningen de naam van de gemeente</w:t>
      </w:r>
      <w:r>
        <w:t>, het waterschap, de provincie of het ministerie</w:t>
      </w:r>
      <w:r w:rsidRPr="001132B9">
        <w:t xml:space="preserve"> getoond.</w:t>
      </w:r>
    </w:p>
    <w:p w14:paraId="3DE8B6A7" w14:textId="77777777" w:rsidR="00E43714" w:rsidRDefault="00E43714" w:rsidP="00E43714">
      <w:pPr>
        <w:pStyle w:val="Opsommingtekens1"/>
      </w:pPr>
      <w:r w:rsidRPr="00AD2FE5">
        <w:rPr>
          <w:i/>
          <w:iCs/>
        </w:rPr>
        <w:lastRenderedPageBreak/>
        <w:t>soortBestuursorgaan</w:t>
      </w:r>
      <w:r>
        <w:t>: d</w:t>
      </w:r>
      <w:r w:rsidRPr="004C2C51">
        <w:t xml:space="preserve">e typering van het bestuursorgaan dat verantwoordelijk is voor </w:t>
      </w:r>
      <w:r>
        <w:t>het</w:t>
      </w:r>
      <w:r w:rsidRPr="004C2C51">
        <w:t xml:space="preserve"> besluit</w:t>
      </w:r>
      <w:r>
        <w:t>. Uit de STOP-waardelijst bestuursorgaan moet de juiste waarde gekozen worden</w:t>
      </w:r>
      <w:r w:rsidRPr="004C2C51">
        <w:t>.</w:t>
      </w:r>
      <w:r>
        <w:t xml:space="preserve"> Verplicht gegeven. Komt 1 keer voor. Voorbeelden zijn ‘college van burgemeester en wethouders’, ‘dagelijks bestuur’ en ‘minister’. In de BesluitMetadata moet gekozen worden voor het bestuursorgaan dat het besluit daadwerkelijk neemt of gaat nemen, ook als dat op grond van een gedelegeerde bevoegdheid gebeurt.</w:t>
      </w:r>
    </w:p>
    <w:p w14:paraId="23B40208" w14:textId="77777777" w:rsidR="00E43714" w:rsidRDefault="00E43714" w:rsidP="00E43714">
      <w:pPr>
        <w:pStyle w:val="Opsommingtekens1"/>
      </w:pPr>
      <w:r w:rsidRPr="00073B3E">
        <w:rPr>
          <w:i/>
          <w:iCs/>
        </w:rPr>
        <w:t>informatieobjectRef</w:t>
      </w:r>
      <w:r>
        <w:t xml:space="preserve">: de </w:t>
      </w:r>
      <w:r w:rsidRPr="00521694">
        <w:t xml:space="preserve">verwijzing naar een versie van een Juridisch informatieobject dat met de tekst van het </w:t>
      </w:r>
      <w:r>
        <w:t xml:space="preserve">ontwerp- of definitief </w:t>
      </w:r>
      <w:r w:rsidRPr="00521694">
        <w:t>besluit gepubliceerd moet worden</w:t>
      </w:r>
      <w:r>
        <w:t xml:space="preserve"> omdat het </w:t>
      </w:r>
      <w:r w:rsidRPr="001E2D58">
        <w:t>onderdeel is van de juridische inhoud van het besluit</w:t>
      </w:r>
      <w:r>
        <w:t xml:space="preserve"> of </w:t>
      </w:r>
      <w:r w:rsidRPr="0089429D">
        <w:t>aanvullende informatie geeft over het besluit</w:t>
      </w:r>
      <w:r>
        <w:t xml:space="preserve">. </w:t>
      </w:r>
      <w:r w:rsidRPr="00020C81">
        <w:t>Komt zo vaak voor als gewenst.</w:t>
      </w:r>
      <w:r>
        <w:t xml:space="preserve"> </w:t>
      </w:r>
      <w:r w:rsidRPr="00A073B9">
        <w:t xml:space="preserve">Wordt geplaatst binnen </w:t>
      </w:r>
      <w:r w:rsidRPr="00F3790D">
        <w:t xml:space="preserve">het container-element </w:t>
      </w:r>
      <w:r w:rsidRPr="00A073B9">
        <w:t>informatieobjectRef</w:t>
      </w:r>
      <w:r>
        <w:t xml:space="preserve">s, dat 1 of meer </w:t>
      </w:r>
      <w:r w:rsidRPr="00561ADA">
        <w:t>informatieobjectRef</w:t>
      </w:r>
      <w:r>
        <w:t>-elementen bevat.</w:t>
      </w:r>
      <w:r w:rsidRPr="00A073B9">
        <w:t xml:space="preserve"> </w:t>
      </w:r>
      <w:r w:rsidRPr="002432DB">
        <w:t xml:space="preserve">Het containerelement informatieobjectRefs is verplicht wanneer </w:t>
      </w:r>
      <w:r>
        <w:t xml:space="preserve">tot </w:t>
      </w:r>
      <w:r w:rsidRPr="002432DB">
        <w:t xml:space="preserve">het </w:t>
      </w:r>
      <w:r>
        <w:t xml:space="preserve">ontwerp- of definitief </w:t>
      </w:r>
      <w:r w:rsidRPr="002432DB">
        <w:t>besluit een of meer GIO</w:t>
      </w:r>
      <w:r>
        <w:t>’</w:t>
      </w:r>
      <w:r w:rsidRPr="002432DB">
        <w:t xml:space="preserve">s </w:t>
      </w:r>
      <w:r>
        <w:t>of PDF-documenten behoren</w:t>
      </w:r>
      <w:r w:rsidRPr="002432DB">
        <w:t xml:space="preserve"> en komt niet voor wanneer </w:t>
      </w:r>
      <w:r>
        <w:t>tot</w:t>
      </w:r>
      <w:r w:rsidRPr="002432DB">
        <w:t xml:space="preserve"> het </w:t>
      </w:r>
      <w:r>
        <w:t>ontwerp</w:t>
      </w:r>
      <w:r w:rsidRPr="002432DB">
        <w:t xml:space="preserve">besluit geen GIO’s </w:t>
      </w:r>
      <w:r>
        <w:t>of PDF-documenten behoren</w:t>
      </w:r>
      <w:r w:rsidRPr="002432DB">
        <w:t>.</w:t>
      </w:r>
    </w:p>
    <w:p w14:paraId="4BBEACD2" w14:textId="77777777" w:rsidR="00E43714" w:rsidRDefault="00E43714" w:rsidP="00E43714">
      <w:pPr>
        <w:pStyle w:val="Opsommingtekens1"/>
      </w:pPr>
      <w:r w:rsidRPr="00073B3E">
        <w:rPr>
          <w:i/>
          <w:iCs/>
        </w:rPr>
        <w:t>officieleTitel</w:t>
      </w:r>
      <w:r>
        <w:t xml:space="preserve">: de </w:t>
      </w:r>
      <w:r w:rsidRPr="006C36FF">
        <w:t>titel van het besluit</w:t>
      </w:r>
      <w:r>
        <w:t xml:space="preserve"> zoals die </w:t>
      </w:r>
      <w:r w:rsidRPr="003072A1">
        <w:t>door het bevoegd gezag</w:t>
      </w:r>
      <w:r>
        <w:t xml:space="preserve"> </w:t>
      </w:r>
      <w:r w:rsidRPr="003072A1">
        <w:t>wordt vastgesteld.</w:t>
      </w:r>
      <w:r>
        <w:t xml:space="preserve"> Verplicht gegeven. Komt 1 keer voor. De officiële titel is altijd gelijk aan het RegelingOpschrift van het besluit.</w:t>
      </w:r>
    </w:p>
    <w:p w14:paraId="1FAF7DAC" w14:textId="77777777" w:rsidR="00E43714" w:rsidRDefault="00E43714" w:rsidP="00E43714">
      <w:pPr>
        <w:pStyle w:val="Opsommingtekens1"/>
      </w:pPr>
      <w:r w:rsidRPr="00073B3E">
        <w:rPr>
          <w:i/>
          <w:iCs/>
        </w:rPr>
        <w:t>onderwerp</w:t>
      </w:r>
      <w:r>
        <w:t>: e</w:t>
      </w:r>
      <w:r w:rsidRPr="003004FE">
        <w:t xml:space="preserve">en korte specificatie van de inhoud van </w:t>
      </w:r>
      <w:r>
        <w:t xml:space="preserve">het ontwerp- of definitief besluit, te kiezen uit de STOP-waardelijst onderwerp. </w:t>
      </w:r>
      <w:r w:rsidRPr="00B3240A">
        <w:t>Verplicht gegeven</w:t>
      </w:r>
      <w:r>
        <w:t>.</w:t>
      </w:r>
      <w:r w:rsidRPr="00B3240A">
        <w:t xml:space="preserve"> </w:t>
      </w:r>
      <w:r>
        <w:t>K</w:t>
      </w:r>
      <w:r w:rsidRPr="003C5B39">
        <w:t xml:space="preserve">omt ten minste 1 keer voor. </w:t>
      </w:r>
      <w:r w:rsidRPr="000676A9">
        <w:t>Wordt geplaatst binnen het contain</w:t>
      </w:r>
      <w:r>
        <w:t>er</w:t>
      </w:r>
      <w:r w:rsidRPr="000676A9">
        <w:t>element onderwerpen, dat 1 of meer onderwerp-elementen bevat. Het containerelement onderwerpen is een verplicht element, dat 1 keer voorkomt.</w:t>
      </w:r>
      <w:r>
        <w:t xml:space="preserve"> Het onderwerp speelt een rol bij het vindbaar maken en bij de zoekresultaatfiltering </w:t>
      </w:r>
      <w:r w:rsidRPr="005F357E">
        <w:t xml:space="preserve">van </w:t>
      </w:r>
      <w:r w:rsidRPr="000F0168">
        <w:t>besluiten, regelingen en kennisgevingen</w:t>
      </w:r>
      <w:r w:rsidRPr="005F357E">
        <w:t xml:space="preserve"> op overheid.nl</w:t>
      </w:r>
      <w:r>
        <w:t>. Daarom wordt geadviseerd om alle toepasselijke onderwerpen van de waardelijst toe te voegen.</w:t>
      </w:r>
    </w:p>
    <w:p w14:paraId="2A74EF40" w14:textId="77777777" w:rsidR="00E43714" w:rsidRDefault="00E43714" w:rsidP="00E43714">
      <w:pPr>
        <w:pStyle w:val="Opsommingtekens1"/>
      </w:pPr>
      <w:r w:rsidRPr="00073B3E">
        <w:rPr>
          <w:i/>
          <w:iCs/>
        </w:rPr>
        <w:t>rechtsgebied</w:t>
      </w:r>
      <w:r>
        <w:t xml:space="preserve">: </w:t>
      </w:r>
      <w:r w:rsidRPr="003B618A">
        <w:t xml:space="preserve">specificatie hoe het instrument wordt ingedeeld binnen het geheel van het recht, </w:t>
      </w:r>
      <w:r>
        <w:t xml:space="preserve">te kiezen uit de STOP-waardelijst rechtsgebied. </w:t>
      </w:r>
      <w:r w:rsidRPr="003C5B39">
        <w:t xml:space="preserve">Komt </w:t>
      </w:r>
      <w:r>
        <w:t xml:space="preserve">zo vaak </w:t>
      </w:r>
      <w:r w:rsidRPr="003C5B39">
        <w:t>voor</w:t>
      </w:r>
      <w:r>
        <w:t xml:space="preserve"> als gewenst. Wordt geplaatst binnen het containerelement </w:t>
      </w:r>
      <w:r w:rsidRPr="00251B62">
        <w:t>rechtsgebieden</w:t>
      </w:r>
      <w:r>
        <w:t xml:space="preserve">, dat 1 of meer </w:t>
      </w:r>
      <w:r w:rsidRPr="00251B62">
        <w:t>rechtsgebied</w:t>
      </w:r>
      <w:r>
        <w:t>-elementen bevat. Het containerelement rechtsgebieden is een optioneel element, dat 0 of 1 keer voorkomt. Het rechtsgebied speelt een rol bij het vindbaar maken en bij</w:t>
      </w:r>
      <w:r w:rsidRPr="008B61DF">
        <w:t xml:space="preserve"> </w:t>
      </w:r>
      <w:r>
        <w:t xml:space="preserve">de </w:t>
      </w:r>
      <w:r w:rsidRPr="008B61DF">
        <w:t xml:space="preserve">zoekresultaatfiltering </w:t>
      </w:r>
      <w:r>
        <w:t xml:space="preserve">van </w:t>
      </w:r>
      <w:r w:rsidRPr="000F0168">
        <w:t xml:space="preserve">besluiten, regelingen en kennisgevingen </w:t>
      </w:r>
      <w:r>
        <w:t>op overheid.nl. Daarom wordt geadviseerd om het element rechtsgebied te gebruiken.</w:t>
      </w:r>
    </w:p>
    <w:p w14:paraId="630B33D4" w14:textId="00826C87" w:rsidR="00E43714" w:rsidRDefault="00E43714" w:rsidP="00E43714">
      <w:pPr>
        <w:pStyle w:val="Opsommingtekens1"/>
      </w:pPr>
      <w:r w:rsidRPr="00073B3E">
        <w:rPr>
          <w:i/>
          <w:iCs/>
        </w:rPr>
        <w:t>soortProcedure</w:t>
      </w:r>
      <w:r>
        <w:t xml:space="preserve">: </w:t>
      </w:r>
      <w:r w:rsidRPr="00A17540">
        <w:t xml:space="preserve">de typering van </w:t>
      </w:r>
      <w:r>
        <w:t xml:space="preserve">(het product van) </w:t>
      </w:r>
      <w:r w:rsidRPr="00A17540">
        <w:t xml:space="preserve">de </w:t>
      </w:r>
      <w:r>
        <w:t xml:space="preserve">fase </w:t>
      </w:r>
      <w:r w:rsidRPr="00A17540">
        <w:t>van de procedure</w:t>
      </w:r>
      <w:r>
        <w:t>, te kiezen uit de STOP-waardelijst soortprocedure. Verplicht gegeven. Komt 1 keer voor. M</w:t>
      </w:r>
      <w:r w:rsidRPr="00BE6BB5">
        <w:t xml:space="preserve">et dit </w:t>
      </w:r>
      <w:r>
        <w:t xml:space="preserve">gegeven </w:t>
      </w:r>
      <w:r w:rsidRPr="00BE6BB5">
        <w:t>wordt aangegeven of een ontwerpbesluit of een definitief besluit wordt aangeleverd.</w:t>
      </w:r>
      <w:r>
        <w:t xml:space="preserve"> Bij een ontwerpbesluit moet de waarde Ontwerpbesluit worden gekozen. Bij de aanlevering ter bekendmaking van een vastgesteld besluit moet de waarde Definitief besluit worden gekozen. Deze keuze bepaalt ook welke procedurestappen in het Procedureverloop (zie paragraaf </w:t>
      </w:r>
      <w:r>
        <w:fldChar w:fldCharType="begin"/>
      </w:r>
      <w:r>
        <w:instrText xml:space="preserve"> REF _Ref_685a169d0dd8249fb4d2a1b6d143137f_2 \n \h </w:instrText>
      </w:r>
      <w:r>
        <w:fldChar w:fldCharType="separate"/>
      </w:r>
      <w:r w:rsidR="001441C5">
        <w:t>10.3.5</w:t>
      </w:r>
      <w:r>
        <w:fldChar w:fldCharType="end"/>
      </w:r>
      <w:r>
        <w:t xml:space="preserve"> beschikbaar zijn.</w:t>
      </w:r>
    </w:p>
    <w:p w14:paraId="3FD03417" w14:textId="77777777" w:rsidR="00E43714" w:rsidRDefault="00E43714" w:rsidP="00E43714">
      <w:pPr>
        <w:pStyle w:val="Opsommingtekens1"/>
      </w:pPr>
      <w:r w:rsidRPr="00073B3E">
        <w:rPr>
          <w:i/>
          <w:iCs/>
        </w:rPr>
        <w:t>grondslag</w:t>
      </w:r>
      <w:r>
        <w:t xml:space="preserve">: </w:t>
      </w:r>
      <w:r w:rsidRPr="00815E67">
        <w:t xml:space="preserve">de machineleesbare verwijzing naar </w:t>
      </w:r>
      <w:r>
        <w:t xml:space="preserve">de </w:t>
      </w:r>
      <w:r w:rsidRPr="00815E67">
        <w:t xml:space="preserve">juridische bron die de wettelijke grondslag van </w:t>
      </w:r>
      <w:r>
        <w:t xml:space="preserve">het </w:t>
      </w:r>
      <w:r w:rsidRPr="00815E67">
        <w:t>instrument geeft. Moet altijd verwijzen naar (een versie van) een geconsolideerde regeling. Komt zo vaak voor als gewenst.</w:t>
      </w:r>
      <w:r>
        <w:t xml:space="preserve"> Wordt geplaatst binnen het containerelement grondslagen, dat 1 of meer grondslag-elementen bevat. Het containerelement grondslagen is een optioneel element. Komt 0 of 1 keer voor. </w:t>
      </w:r>
      <w:r>
        <w:br/>
        <w:t>De grondslag ziet er -in STOP-XML- uit als in de navolgende afbeelding. De uri is een Juriconnect 1.3.1-verwijzing. Zie daarvoor ook de ‘</w:t>
      </w:r>
      <w:r w:rsidRPr="00110545">
        <w:t>Juriconnect-standaard voor identificatie van en verwijzing naar wet- en regelgeving</w:t>
      </w:r>
      <w:r>
        <w:t xml:space="preserve">’. Wanneer verwezen wordt naar een artikel in een wet die in werking is getreden, kan de uri eenvoudig gegenereerd worden door op </w:t>
      </w:r>
      <w:r>
        <w:lastRenderedPageBreak/>
        <w:t xml:space="preserve">wetten.overheid.nl naar het betreffende artikel te gaan en daar met behulp van de linktool een link naar de </w:t>
      </w:r>
      <w:r w:rsidRPr="00E82196">
        <w:t>meest recente versie zonder geldigheidsdatum</w:t>
      </w:r>
      <w:r>
        <w:t xml:space="preserve"> te genereren en die te kopiëren.</w:t>
      </w:r>
    </w:p>
    <w:p w14:paraId="316B3BA9" w14:textId="77777777" w:rsidR="00E43714" w:rsidRDefault="00E43714" w:rsidP="00E43714">
      <w:pPr>
        <w:pStyle w:val="Figuur"/>
      </w:pPr>
      <w:r>
        <w:rPr>
          <w:noProof/>
        </w:rPr>
        <w:drawing>
          <wp:inline distT="0" distB="0" distL="0" distR="0" wp14:anchorId="0D476F6B" wp14:editId="088A1366">
            <wp:extent cx="4467860" cy="1476375"/>
            <wp:effectExtent l="0" t="0" r="8890" b="9525"/>
            <wp:docPr id="953394675" name="Afbeelding 95339467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94652" name="Afbeelding 953394652" descr="Afbeelding met tekst&#10;&#10;Automatisch gegenereerde beschrijvin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4467860" cy="1476375"/>
                    </a:xfrm>
                    <a:prstGeom prst="rect">
                      <a:avLst/>
                    </a:prstGeom>
                    <a:noFill/>
                  </pic:spPr>
                </pic:pic>
              </a:graphicData>
            </a:graphic>
          </wp:inline>
        </w:drawing>
      </w:r>
    </w:p>
    <w:p w14:paraId="79DC8C0C" w14:textId="77777777" w:rsidR="00E43714" w:rsidRDefault="00E43714" w:rsidP="00E43714">
      <w:pPr>
        <w:pStyle w:val="Figuurbijschrift"/>
      </w:pPr>
      <w:r w:rsidRPr="005C5500">
        <w:t>Voorbeeld van de grondslag voor</w:t>
      </w:r>
      <w:r>
        <w:t xml:space="preserve"> het omgevingsplan</w:t>
      </w:r>
    </w:p>
    <w:p w14:paraId="1CF59768" w14:textId="3B11C287" w:rsidR="00E43714" w:rsidRDefault="00E43714" w:rsidP="00E43714">
      <w:r>
        <w:t>STOP kent naast de hiervoor genoemde BesluitMetadata ook nog de metadata afkortingen</w:t>
      </w:r>
      <w:r w:rsidR="00A0156C">
        <w:t>, citeertitel</w:t>
      </w:r>
      <w:r>
        <w:t xml:space="preserve"> en alternatieveTitels. Geadviseerd wordt om deze metadata bij omgevingsdocumenten niet te gebruiken. </w:t>
      </w:r>
      <w:r w:rsidRPr="0044408C">
        <w:t>Ze worden daarom niet verder besproken.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9E6F4" w14:textId="77777777" w:rsidR="00221643" w:rsidRDefault="00221643">
      <w:r>
        <w:separator/>
      </w:r>
    </w:p>
    <w:p w14:paraId="277DDC4F" w14:textId="77777777" w:rsidR="00221643" w:rsidRDefault="00221643"/>
  </w:endnote>
  <w:endnote w:type="continuationSeparator" w:id="0">
    <w:p w14:paraId="2B88ED8F" w14:textId="77777777" w:rsidR="00221643" w:rsidRPr="003C450F" w:rsidRDefault="00221643" w:rsidP="003C450F"/>
  </w:endnote>
  <w:endnote w:type="continuationNotice" w:id="1">
    <w:p w14:paraId="25C95560" w14:textId="77777777" w:rsidR="00221643" w:rsidRDefault="0022164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17084B00" w14:textId="3C595AD0" w:rsidR="006C0205" w:rsidRDefault="006C0205">
      <w:pPr>
        <w:pStyle w:val="Eindnoottekst"/>
      </w:pPr>
      <w:r>
        <w:rPr>
          <w:rStyle w:val="Eindnootmarkering"/>
        </w:rPr>
        <w:endnoteRef/>
      </w:r>
      <w:r>
        <w:t xml:space="preserve"> TPOD1700</w:t>
      </w:r>
    </w:p>
  </w:endnote>
  <w:endnote w:id="9">
    <w:p w14:paraId="515806A3" w14:textId="2B1399CF" w:rsidR="006C0205" w:rsidRDefault="006C0205">
      <w:pPr>
        <w:pStyle w:val="Eindnoottekst"/>
      </w:pPr>
      <w:r>
        <w:rPr>
          <w:rStyle w:val="Eindnootmarkering"/>
        </w:rPr>
        <w:endnoteRef/>
      </w:r>
      <w:r>
        <w:t xml:space="preserve"> TPOD1710</w:t>
      </w:r>
    </w:p>
  </w:endnote>
  <w:endnote w:id="10">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1">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2">
    <w:p w14:paraId="13B036EA" w14:textId="77777777" w:rsidR="002F0D2A" w:rsidRDefault="002F0D2A" w:rsidP="002F0D2A">
      <w:pPr>
        <w:pStyle w:val="Eindnoottekst"/>
      </w:pPr>
      <w:r>
        <w:rPr>
          <w:rStyle w:val="Eindnootmarkering"/>
        </w:rPr>
        <w:endnoteRef/>
      </w:r>
      <w:r>
        <w:t xml:space="preserve"> TPOD880</w:t>
      </w:r>
    </w:p>
  </w:endnote>
  <w:endnote w:id="13">
    <w:p w14:paraId="6A377297" w14:textId="77777777" w:rsidR="002F0D2A" w:rsidRDefault="002F0D2A" w:rsidP="002F0D2A">
      <w:pPr>
        <w:pStyle w:val="Eindnoottekst"/>
      </w:pPr>
      <w:r>
        <w:rPr>
          <w:rStyle w:val="Eindnootmarkering"/>
        </w:rPr>
        <w:endnoteRef/>
      </w:r>
      <w:r>
        <w:t xml:space="preserve"> TPOD980</w:t>
      </w:r>
    </w:p>
  </w:endnote>
  <w:endnote w:id="14">
    <w:p w14:paraId="6C3404E9" w14:textId="77777777" w:rsidR="002F0D2A" w:rsidRDefault="002F0D2A" w:rsidP="002F0D2A">
      <w:pPr>
        <w:pStyle w:val="Eindnoottekst"/>
      </w:pPr>
      <w:r>
        <w:rPr>
          <w:rStyle w:val="Eindnootmarkering"/>
        </w:rPr>
        <w:endnoteRef/>
      </w:r>
      <w:r>
        <w:t xml:space="preserve"> TPOD990</w:t>
      </w:r>
    </w:p>
  </w:endnote>
  <w:endnote w:id="15">
    <w:p w14:paraId="22AD5ABA" w14:textId="77777777" w:rsidR="002F0D2A" w:rsidRDefault="002F0D2A" w:rsidP="002F0D2A">
      <w:pPr>
        <w:pStyle w:val="Eindnoottekst"/>
      </w:pPr>
      <w:r>
        <w:rPr>
          <w:rStyle w:val="Eindnootmarkering"/>
        </w:rPr>
        <w:endnoteRef/>
      </w:r>
      <w:r>
        <w:t xml:space="preserve"> TPOD1000</w:t>
      </w:r>
    </w:p>
  </w:endnote>
  <w:endnote w:id="16">
    <w:p w14:paraId="6F7E639D" w14:textId="77777777" w:rsidR="002F0D2A" w:rsidRDefault="002F0D2A" w:rsidP="002F0D2A">
      <w:pPr>
        <w:pStyle w:val="Eindnoottekst"/>
      </w:pPr>
      <w:r>
        <w:rPr>
          <w:rStyle w:val="Eindnootmarkering"/>
        </w:rPr>
        <w:endnoteRef/>
      </w:r>
      <w:r>
        <w:t xml:space="preserve"> TPOD1010, TPOD1020</w:t>
      </w:r>
    </w:p>
  </w:endnote>
  <w:endnote w:id="17">
    <w:p w14:paraId="5EC07A44" w14:textId="77777777" w:rsidR="002F0D2A" w:rsidRDefault="002F0D2A" w:rsidP="002F0D2A">
      <w:pPr>
        <w:pStyle w:val="Eindnoottekst"/>
      </w:pPr>
      <w:r>
        <w:rPr>
          <w:rStyle w:val="Eindnootmarkering"/>
        </w:rPr>
        <w:endnoteRef/>
      </w:r>
      <w:r>
        <w:t xml:space="preserve"> TPOD1030</w:t>
      </w:r>
    </w:p>
  </w:endnote>
  <w:endnote w:id="18">
    <w:p w14:paraId="191F62D7" w14:textId="77777777" w:rsidR="002F0D2A" w:rsidRDefault="002F0D2A" w:rsidP="002F0D2A">
      <w:pPr>
        <w:pStyle w:val="Eindnoottekst"/>
      </w:pPr>
      <w:r>
        <w:rPr>
          <w:rStyle w:val="Eindnootmarkering"/>
        </w:rPr>
        <w:endnoteRef/>
      </w:r>
      <w:r>
        <w:t xml:space="preserve"> TPOD1040</w:t>
      </w:r>
    </w:p>
  </w:endnote>
  <w:endnote w:id="19">
    <w:p w14:paraId="641F874D" w14:textId="77777777" w:rsidR="002F0D2A" w:rsidRDefault="002F0D2A" w:rsidP="002F0D2A">
      <w:pPr>
        <w:pStyle w:val="Eindnoottekst"/>
      </w:pPr>
      <w:r>
        <w:rPr>
          <w:rStyle w:val="Eindnootmarkering"/>
        </w:rPr>
        <w:endnoteRef/>
      </w:r>
      <w:r>
        <w:t xml:space="preserve"> TPOD1050</w:t>
      </w:r>
    </w:p>
  </w:endnote>
  <w:endnote w:id="20">
    <w:p w14:paraId="289693D4" w14:textId="77777777" w:rsidR="002F0D2A" w:rsidRDefault="002F0D2A" w:rsidP="002F0D2A">
      <w:pPr>
        <w:pStyle w:val="Eindnoottekst"/>
      </w:pPr>
      <w:r>
        <w:rPr>
          <w:rStyle w:val="Eindnootmarkering"/>
        </w:rPr>
        <w:endnoteRef/>
      </w:r>
      <w:r>
        <w:t xml:space="preserve"> TPOD1060, TPOD1070</w:t>
      </w:r>
    </w:p>
  </w:endnote>
  <w:endnote w:id="21">
    <w:p w14:paraId="33B1F359" w14:textId="77777777" w:rsidR="002F0D2A" w:rsidRDefault="002F0D2A" w:rsidP="002F0D2A">
      <w:pPr>
        <w:pStyle w:val="Eindnoottekst"/>
      </w:pPr>
      <w:r>
        <w:rPr>
          <w:rStyle w:val="Eindnootmarkering"/>
        </w:rPr>
        <w:endnoteRef/>
      </w:r>
      <w:r>
        <w:t xml:space="preserve"> TPOD1560</w:t>
      </w:r>
    </w:p>
  </w:endnote>
  <w:endnote w:id="22">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416BD" w14:textId="77777777" w:rsidR="00221643" w:rsidRPr="00B35331" w:rsidRDefault="00221643" w:rsidP="00577995">
      <w:pPr>
        <w:pStyle w:val="Voettekst"/>
      </w:pPr>
    </w:p>
  </w:footnote>
  <w:footnote w:type="continuationSeparator" w:id="0">
    <w:p w14:paraId="3933117D" w14:textId="77777777" w:rsidR="00221643" w:rsidRDefault="00221643">
      <w:r>
        <w:continuationSeparator/>
      </w:r>
    </w:p>
    <w:p w14:paraId="7732C744" w14:textId="77777777" w:rsidR="00221643" w:rsidRDefault="00221643"/>
    <w:p w14:paraId="72137A41" w14:textId="77777777" w:rsidR="00221643" w:rsidRDefault="00221643"/>
  </w:footnote>
  <w:footnote w:type="continuationNotice" w:id="1">
    <w:p w14:paraId="49A8E461" w14:textId="77777777" w:rsidR="00221643" w:rsidRDefault="0022164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7">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8">
    <w:p w14:paraId="0953F81C" w14:textId="23D20BB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7366B">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7366B">
        <w:t>7</w:t>
      </w:r>
      <w:r w:rsidR="00995073">
        <w:fldChar w:fldCharType="end"/>
      </w:r>
    </w:p>
  </w:footnote>
  <w:footnote w:id="9">
    <w:p w14:paraId="09A84119" w14:textId="7506D6F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0">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1">
    <w:p w14:paraId="2D986D31" w14:textId="17BE5B93"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1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16">
    <w:p w14:paraId="1586F868" w14:textId="77777777" w:rsidR="00883FA1" w:rsidRDefault="00883FA1" w:rsidP="00883FA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17">
    <w:p w14:paraId="75F4690C" w14:textId="77777777" w:rsidR="00883FA1" w:rsidRDefault="00883FA1" w:rsidP="00883FA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32EC98D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7366B">
        <w:t>7.13</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24">
    <w:p w14:paraId="58A1BF3C" w14:textId="5AA53FB7" w:rsidR="00112579" w:rsidRDefault="00112579" w:rsidP="00112579">
      <w:pPr>
        <w:pStyle w:val="Voetnoottekst"/>
      </w:pPr>
      <w:r>
        <w:rPr>
          <w:rStyle w:val="Voetnootmarkering"/>
        </w:rPr>
        <w:footnoteRef/>
      </w:r>
      <w:r>
        <w:t xml:space="preserve"> </w:t>
      </w:r>
      <w:r>
        <w:tab/>
        <w:t xml:space="preserve">Artikel 13 lid </w:t>
      </w:r>
      <w:r w:rsidR="00BB4C17">
        <w:t>3</w:t>
      </w:r>
      <w:r>
        <w:t xml:space="preserve"> Bekendmakingswet</w:t>
      </w:r>
    </w:p>
  </w:footnote>
  <w:footnote w:id="25">
    <w:p w14:paraId="5032341E" w14:textId="776A1E48" w:rsidR="00112579" w:rsidRDefault="00112579" w:rsidP="00112579">
      <w:pPr>
        <w:pStyle w:val="Voetnoottekst"/>
      </w:pPr>
      <w:r>
        <w:rPr>
          <w:rStyle w:val="Voetnootmarkering"/>
        </w:rPr>
        <w:footnoteRef/>
      </w:r>
      <w:r>
        <w:t xml:space="preserve"> </w:t>
      </w:r>
      <w:r>
        <w:tab/>
        <w:t>Artikel 3:12 lid 1 Awb</w:t>
      </w:r>
    </w:p>
  </w:footnote>
  <w:footnote w:id="26">
    <w:p w14:paraId="31063C24" w14:textId="459438FE"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112D7A">
        <w:t>1</w:t>
      </w:r>
      <w:r>
        <w:t xml:space="preserve"> </w:t>
      </w:r>
      <w:r w:rsidRPr="00676BBD">
        <w:t>Bekendmakingswet</w:t>
      </w:r>
    </w:p>
  </w:footnote>
  <w:footnote w:id="27">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28">
    <w:p w14:paraId="7E617724" w14:textId="77777777" w:rsidR="00112579" w:rsidRDefault="00112579" w:rsidP="00112579">
      <w:pPr>
        <w:pStyle w:val="Voetnoottekst"/>
      </w:pPr>
      <w:r>
        <w:rPr>
          <w:rStyle w:val="Voetnootmarkering"/>
        </w:rPr>
        <w:footnoteRef/>
      </w:r>
      <w:r>
        <w:t xml:space="preserve"> </w:t>
      </w:r>
      <w:r>
        <w:tab/>
        <w:t>Artikel 3:16 lid 1 Awb</w:t>
      </w:r>
    </w:p>
  </w:footnote>
  <w:footnote w:id="29">
    <w:p w14:paraId="21F5350C" w14:textId="77777777" w:rsidR="00112579" w:rsidRDefault="00112579" w:rsidP="00112579">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30">
    <w:p w14:paraId="5700E4CD" w14:textId="77777777" w:rsidR="00112579" w:rsidRDefault="00112579" w:rsidP="00112579">
      <w:pPr>
        <w:pStyle w:val="Voetnoottekst"/>
      </w:pPr>
      <w:r>
        <w:rPr>
          <w:rStyle w:val="Voetnootmarkering"/>
        </w:rPr>
        <w:footnoteRef/>
      </w:r>
      <w:r>
        <w:t xml:space="preserve"> </w:t>
      </w:r>
      <w:r>
        <w:tab/>
      </w:r>
      <w:r w:rsidRPr="00B15E08">
        <w:t>Artikel 3.7 Besluit elektronische publicaties</w:t>
      </w:r>
    </w:p>
  </w:footnote>
  <w:footnote w:id="3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32">
    <w:p w14:paraId="057A7E6B" w14:textId="77777777" w:rsidR="00112579" w:rsidRDefault="00112579" w:rsidP="00112579">
      <w:pPr>
        <w:pStyle w:val="Voetnoottekst"/>
      </w:pPr>
      <w:r>
        <w:rPr>
          <w:rStyle w:val="Voetnootmarkering"/>
        </w:rPr>
        <w:footnoteRef/>
      </w:r>
      <w:r>
        <w:t xml:space="preserve"> </w:t>
      </w:r>
      <w:r>
        <w:tab/>
        <w:t>Artikel 2.8 Ow</w:t>
      </w:r>
    </w:p>
  </w:footnote>
  <w:footnote w:id="3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3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3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3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37">
    <w:p w14:paraId="439E9A7D" w14:textId="201B5972"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8">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A27A7D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05493DBC"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E2DF643" w:rsidR="0078768C" w:rsidRPr="00CA6C0C" w:rsidRDefault="00A70AFD" w:rsidP="00FF3E80">
          <w:r>
            <w:fldChar w:fldCharType="begin"/>
          </w:r>
          <w:r>
            <w:instrText xml:space="preserve"> SAVEDATE  \@ "d MMMM yyyy" </w:instrText>
          </w:r>
          <w:r>
            <w:fldChar w:fldCharType="separate"/>
          </w:r>
          <w:r w:rsidR="001441C5">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997CD0E"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13D47E14"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erordening"/>
    <w:docVar w:name="ID01_CAPS" w:val="Omgevingsverordening"/>
    <w:docVar w:name="ID01+" w:val="de omgevingsverordening"/>
    <w:docVar w:name="ID01+_CAPS" w:val="De omgevingsverordening"/>
    <w:docVar w:name="ID02" w:val="de"/>
    <w:docVar w:name="ID03" w:val="o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A8"/>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5"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86" Type="http://schemas.openxmlformats.org/officeDocument/2006/relationships/image" Target="media/image_1c7eb21c1997bdb93d270fdd1c5d54d2.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1269</TotalTime>
  <Pages>220</Pages>
  <Words>82892</Words>
  <Characters>455907</Characters>
  <Application>Microsoft Office Word</Application>
  <DocSecurity>0</DocSecurity>
  <Lines>3799</Lines>
  <Paragraphs>1075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537724</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90</cp:revision>
  <cp:lastPrinted>2021-12-12T20:21:00Z</cp:lastPrinted>
  <dcterms:created xsi:type="dcterms:W3CDTF">2023-01-18T16:24:00Z</dcterms:created>
  <dcterms:modified xsi:type="dcterms:W3CDTF">2023-04-04T09:37:00Z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