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2D54" w14:textId="77777777" w:rsidR="00E43714" w:rsidRDefault="00E43714" w:rsidP="006C3FBE">
      <w:pPr>
        <w:pStyle w:val="Kop4"/>
      </w:pPr>
      <w:bookmarkStart w:id="437" w:name="_Ref_685a169d0dd8249fb4d2a1b6d143137f_1"/>
      <w:bookmarkStart w:id="439" w:name="_Ref_685a169d0dd8249fb4d2a1b6d143137f_2"/>
      <w:r>
        <w:t>Soort procedure en consolidatie</w:t>
      </w:r>
      <w:bookmarkEnd w:id="437"/>
    </w:p>
    <w:p w14:paraId="318AA4B7" w14:textId="77777777" w:rsidR="00E43714" w:rsidRPr="00DD0E95" w:rsidRDefault="00E43714" w:rsidP="00E43714">
      <w:r w:rsidRPr="00DD0E95">
        <w:t>Aan de hand van de soort procedure bepaalt de LVBB wat er met het besluit wordt gedaan. Uiteraard moet DSO-LV weten of de aangeleverde OW-objecten horen bij een ontwerpbesluit of een definitief besluit. Daarvoor kent ook IMOW proceduregegevens.</w:t>
      </w:r>
      <w:r>
        <w:t xml:space="preserve"> </w:t>
      </w:r>
      <w:r w:rsidRPr="00DD0E95">
        <w:t>DSO</w:t>
      </w:r>
      <w:r w:rsidRPr="00370247">
        <w:t>-LV weet dat het gaat om OW-objecten behorend bij een ontwerp</w:t>
      </w:r>
      <w:r>
        <w:t>regeling</w:t>
      </w:r>
      <w:r w:rsidRPr="00370247">
        <w:t xml:space="preserve"> omdat in dat geval bij de OW-objecten als procedurestatus ‘ontwerp’ is aangegeven.</w:t>
      </w:r>
    </w:p>
    <w:p w14:paraId="2EDDD8F9" w14:textId="77777777" w:rsidR="00E43714" w:rsidRDefault="00E43714" w:rsidP="00E43714">
      <w:r w:rsidRPr="00DD0E95">
        <w:t xml:space="preserve">Indien sprake is van een ontwerpbesluit levert het bevoegd gezag het ontwerpbesluit aan bij de LVBB met als soortProcedure ‘ontwerpbesluit’. Na ontvangst van een ontwerpbesluit genereert de LVBB daaruit een proefversie: bij een initieel ontwerpbesluit de eerste (ontwerp)versie van de regeling en bij een ontwerp-wijzigingsbesluit de </w:t>
      </w:r>
      <w:r>
        <w:t>verwerking</w:t>
      </w:r>
      <w:r w:rsidRPr="00DD0E95">
        <w:t xml:space="preserve"> van het ontwerpbesluit in de regelingversie waarop het bevoegd gezag het ontwerpbesluit heeft gebaseerd. De LVBB stelt de proefversie beschikbaar voor DSO-LV en levert de OW-objecten door aan DSO-LV. </w:t>
      </w:r>
      <w:r>
        <w:t>DSO-LV toont vervolgens die proefversie in de vorm van een ontwerpregeling.</w:t>
      </w:r>
    </w:p>
    <w:p w14:paraId="0E155796" w14:textId="0BDE3638" w:rsidR="00DC2876" w:rsidRPr="00F03DD9" w:rsidRDefault="00E43714" w:rsidP="00E43714">
      <w:r w:rsidRPr="00F03DD9">
        <w:t xml:space="preserve">Nadat het bestuursorgaan een besluit over een omgevingsdocument heeft genomen, levert het dat besluit aan bij de LVBB met als soortProcedure ‘definitief besluit’. </w:t>
      </w:r>
      <w:r w:rsidRPr="00B3240A">
        <w:t>Na ontvangst van een initieel besluit destilleert de LVBB daaruit de Regelingversie. Na ontvangst van een wijzigingsbesluit voert de LVBB de consolidatie uit met als resultaat een nieuwe toestand van de Regeling.</w:t>
      </w:r>
      <w:r>
        <w:t xml:space="preserve"> </w:t>
      </w:r>
      <w:r w:rsidRPr="00325A43">
        <w:t>De LVBB doet dat wanneer de inwerkingtredingsdatum van het (wijzigings)besluit -en daarmee ook van de nieuwe RegelingVersie- bekend is. De LVBB haalt die datum op uit de meegeleverde ConsolidatieInformatie.</w:t>
      </w:r>
    </w:p>
    <w:p w14:paraId="286E0F3A" w14:textId="63CDBF4D" w:rsidR="00E43714" w:rsidRDefault="00E43714" w:rsidP="00E43714">
      <w:pPr>
        <w:pStyle w:val="Kader"/>
      </w:pPr>
      <w:r w:rsidRPr="00B26823">
        <w:rPr>
          <w:noProof/>
        </w:rPr>
        <mc:AlternateContent>
          <mc:Choice Requires="wps">
            <w:drawing>
              <wp:inline distT="0" distB="0" distL="0" distR="0" wp14:anchorId="6150FB49" wp14:editId="7AC5136E">
                <wp:extent cx="1828800" cy="1828800"/>
                <wp:effectExtent l="0" t="0" r="22860" b="22860"/>
                <wp:docPr id="4" name="Tekstvak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F1B6599" w14:textId="77777777" w:rsidR="00E43714" w:rsidRPr="00D80A79" w:rsidRDefault="00E43714" w:rsidP="00E43714">
                            <w:pPr>
                              <w:rPr>
                                <w:b/>
                                <w:bCs/>
                              </w:rPr>
                            </w:pPr>
                            <w:r w:rsidRPr="00D80A79">
                              <w:rPr>
                                <w:b/>
                                <w:bCs/>
                              </w:rPr>
                              <w:t>Toekomstige functionaliteit</w:t>
                            </w:r>
                          </w:p>
                          <w:p w14:paraId="69157AAB" w14:textId="77777777" w:rsidR="00E43714" w:rsidRPr="00B3240A" w:rsidRDefault="00E43714" w:rsidP="00E43714">
                            <w:r w:rsidRPr="00B3240A">
                              <w:t>Het tonen van een toestand van een regeling vóór de inwerkingtredingsdatum is nog niet geïmplementeerd in de DSO-keten.</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50FB49" id="Tekstvak 4"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Uh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6dDwFqoj4uCgHxFv+Vph+kfmwwtzOBPYH855eMZDasCa4CRRUoP79bf76I9UoZWSFmespAaXgBL9&#10;3SCFd+PpNI5kUqY3XyaouGvL9tpi9s0KsM0x7pPlSYz+QQ+idNC84TIs45toYobjyyUNg7gK/dzj&#10;MnGxXCYnHELLwqPZWB5TD6C+dm/M2RNZAXl+gmEWWfGOs943Rnq73AdkLhEaUe4xPYGPA5y4OS1b&#10;3JBrPXldfgmL3wA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K+pSErAgAAWgQAAA4AAAAAAAAAAAAAAAAALgIAAGRycy9lMm9Eb2Mu&#10;eG1sUEsBAi0AFAAGAAgAAAAhALcMAwjXAAAABQEAAA8AAAAAAAAAAAAAAAAAhQQAAGRycy9kb3du&#10;cmV2LnhtbFBLBQYAAAAABAAEAPMAAACJBQAAAAA=&#10;" filled="f" strokeweight=".5pt">
                <v:textbox style="mso-fit-shape-to-text:t">
                  <w:txbxContent>
                    <w:p w14:paraId="4F1B6599" w14:textId="77777777" w:rsidR="00E43714" w:rsidRPr="00D80A79" w:rsidRDefault="00E43714" w:rsidP="00E43714">
                      <w:pPr>
                        <w:rPr>
                          <w:b/>
                          <w:bCs/>
                        </w:rPr>
                      </w:pPr>
                      <w:r w:rsidRPr="00D80A79">
                        <w:rPr>
                          <w:b/>
                          <w:bCs/>
                        </w:rPr>
                        <w:t>Toekomstige functionaliteit</w:t>
                      </w:r>
                    </w:p>
                    <w:p w14:paraId="69157AAB" w14:textId="77777777" w:rsidR="00E43714" w:rsidRPr="00B3240A" w:rsidRDefault="00E43714" w:rsidP="00E43714">
                      <w:r w:rsidRPr="00B3240A">
                        <w:t>Het tonen van een toestand van een regeling vóór de inwerkingtredingsdatum is nog niet geïmplementeerd in de DSO-keten.</w:t>
                      </w:r>
                    </w:p>
                    <w:p w14:paraId="780FD506"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126C3E65" w14:textId="77777777" w:rsidR="00E43714" w:rsidRDefault="00E43714" w:rsidP="00E43714"/>
                    <w:p w14:paraId="5DA25BDE" w14:textId="77777777" w:rsidR="00E43714" w:rsidRPr="00541BF1" w:rsidRDefault="00E43714" w:rsidP="00E43714">
                      <w:pPr>
                        <w:rPr>
                          <w:b/>
                          <w:bCs/>
                        </w:rPr>
                      </w:pPr>
                      <w:r w:rsidRPr="00541BF1">
                        <w:rPr>
                          <w:b/>
                          <w:bCs/>
                        </w:rPr>
                        <w:t>Workaround</w:t>
                      </w:r>
                    </w:p>
                    <w:p w14:paraId="38AB2FD0"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