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32ED9B15" w14:textId="648CF625" w:rsidR="00DC2876"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verwerkt het waterschap</w:t>
      </w:r>
      <w:r>
        <w:t xml:space="preserve"> die in de plansoftware.</w:t>
      </w:r>
    </w:p>
    <w:p w14:paraId="7D0B54F8" w14:textId="123D36AB" w:rsidR="00346CF0"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op welke wijze invulling is gegeven aan het toepasselijke decentrale participatiebeleid</w:t>
      </w:r>
      <w:r w:rsidR="00907100">
        <w:t xml:space="preserve">. </w:t>
      </w:r>
      <w:r w:rsidR="00346CF0">
        <w:t xml:space="preserve">Deze </w:t>
      </w:r>
      <w:r w:rsidR="00346CF0" w:rsidRPr="00950BA6">
        <w:t xml:space="preserve">beschrijvingen worden geplaatst in het onderdeel Motivering van het Besluit, zie daarvoor paragraaf </w:t>
      </w:r>
      <w:r w:rsidR="00346CF0">
        <w:fldChar w:fldCharType="begin"/>
      </w:r>
      <w:r w:rsidR="00346CF0">
        <w:instrText xml:space="preserve"> REF _Ref_1a4c400f01fe965ca3548e381648cb9a_2 \n \h </w:instrText>
      </w:r>
      <w:r w:rsidR="00346CF0">
        <w:fldChar w:fldCharType="separate"/>
      </w:r>
      <w:r w:rsidR="001441C5">
        <w:t>4.3.2</w:t>
      </w:r>
      <w:r w:rsidR="00346CF0">
        <w:fldChar w:fldCharType="end"/>
      </w:r>
      <w:r w:rsidR="00346CF0" w:rsidRPr="00950BA6">
        <w:t xml:space="preserve"> en met name de toelichting in paragraaf </w:t>
      </w:r>
      <w:r w:rsidR="00346CF0">
        <w:fldChar w:fldCharType="begin"/>
      </w:r>
      <w:r w:rsidR="00346CF0">
        <w:instrText xml:space="preserve"> REF _Ref_aec3aa874f65a1f3162873b0cf7f35d8_1 \n \h </w:instrText>
      </w:r>
      <w:r w:rsidR="00346CF0">
        <w:fldChar w:fldCharType="separate"/>
      </w:r>
      <w:r w:rsidR="001441C5">
        <w:t>4.3.2.2</w:t>
      </w:r>
      <w:r w:rsidR="00346CF0">
        <w:fldChar w:fldCharType="end"/>
      </w:r>
      <w:r w:rsidR="00E7423F">
        <w:t>.</w:t>
      </w:r>
    </w:p>
    <w:p w14:paraId="553FE3C5" w14:textId="6DAF2A97" w:rsidR="00112579" w:rsidRDefault="00AA494A" w:rsidP="00112579">
      <w:r w:rsidRPr="00AA494A">
        <w:t>Er is geen wettelijke verplichting om het besluit tot vaststelling of wijziging van de omgevingsverordening te voorzien van een deugdelijke motivering en die motivering te vermelden bij de bekendmaking van het besluit. Wanneer de provincie er voor kiest om dat wel te doen, dan wordt die motivering geplaatst in het onderdeel Motivering van het Besluit.</w:t>
      </w:r>
    </w:p>
    <w:p w14:paraId="0D02B25F" w14:textId="77777777" w:rsidR="00AA494A" w:rsidRDefault="00AA494A" w:rsidP="00112579"/>
    <w:p w14:paraId="0F11EEFC" w14:textId="7558E73D"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amendementen). Deze eventuele wijzigingen worden verwerkt in de plansoftware.</w:t>
      </w:r>
    </w:p>
    <w:p w14:paraId="3E09FB09" w14:textId="77777777" w:rsidR="00112579" w:rsidRDefault="00112579" w:rsidP="00112579"/>
    <w:p w14:paraId="18DFD679" w14:textId="39C6A676" w:rsidR="00F056AF" w:rsidRPr="00D07724" w:rsidRDefault="005C49BC" w:rsidP="00112579">
      <w:r w:rsidRPr="005C49BC">
        <w:t>Er is geen wettelijke verplichting om mededeling van het besluit tot vaststelling of wijziging van de omgevingsverordening te doen aan degenen die bij de voorbereiding ervan hun zienswijze naar voren hebben gebracht en aan hen een exemplaar van het besluit toe te zenden. Wanneer de provincie er voor kiest om dat wel te doen, dan is het aan de provincie om te bepalen hoe en in welke vorm zij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