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1C6F0F" w:rsidP="00E33EDD">
      <w:pPr>
        <w:pStyle w:val="Kop4"/>
      </w:pPr>
      <w:bookmarkStart w:id="4" w:name="_Ref_246bfbf774e3cc51b6dea74ec90a8836_1"/>
      <w:r w:rsidRPr="00B26823">
        <w:t>Nieuw stelsel omgevingsrecht</w:t>
      </w:r>
      <w:bookmarkEnd w:id="4"/>
    </w:p>
    <w:p w14:paraId="6BD6A1FE" w14:textId="77777777" w:rsidR="00E33EDD" w:rsidRPr="00B26823" w:rsidRDefault="001C6F0F"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1C6F0F" w:rsidP="00E33EDD">
      <w:pPr>
        <w:pStyle w:val="Opsommingtekens1"/>
      </w:pPr>
      <w:r w:rsidRPr="00B26823">
        <w:t>Het omgevingsrecht is inzichtelijk, voorspelbaar en gemakkelijk in het gebruik.</w:t>
      </w:r>
    </w:p>
    <w:p w14:paraId="4EA167C2" w14:textId="77777777" w:rsidR="00E33EDD" w:rsidRPr="00B26823" w:rsidRDefault="001C6F0F" w:rsidP="00E33EDD">
      <w:pPr>
        <w:pStyle w:val="Opsommingtekens1"/>
      </w:pPr>
      <w:r w:rsidRPr="00B26823">
        <w:t>De leefomgeving staat op een samenhangende manier centraal in beleid, besluitvorming en regelgeving.</w:t>
      </w:r>
    </w:p>
    <w:p w14:paraId="21166508" w14:textId="77777777" w:rsidR="00E33EDD" w:rsidRPr="00B26823" w:rsidRDefault="001C6F0F"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1C6F0F" w:rsidP="00E33EDD">
      <w:pPr>
        <w:pStyle w:val="Opsommingtekens1"/>
      </w:pPr>
      <w:r w:rsidRPr="00B26823">
        <w:t>Besluitvorming over projecten in de leefomgeving gaat sneller en beter.</w:t>
      </w:r>
    </w:p>
    <w:p w14:paraId="5D9A9A76" w14:textId="77777777" w:rsidR="00E33EDD" w:rsidRPr="00B26823" w:rsidRDefault="00000000" w:rsidP="00E33EDD"/>
    <w:p w14:paraId="0F248D4B" w14:textId="0FABDD07" w:rsidR="00E33EDD" w:rsidRPr="00B26823" w:rsidRDefault="001C6F0F" w:rsidP="00E33EDD">
      <w:r w:rsidRPr="00B26823">
        <w:t xml:space="preserve">Voor de realisatie van deze doelen biedt de wetgever diverse juridische instrumenten, waaronder de </w:t>
      </w:r>
      <w:r w:rsidRPr="00B4058F">
        <w:t xml:space="preserve">besluiten en andere rechtsfiguren </w:t>
      </w:r>
      <w:r w:rsidRPr="00B26823">
        <w:t xml:space="preserve">die verschillende bevoegde gezagen in staat stellen besluiten te nemen die ingrijpen in de leefomgeving. De belangrijkste </w:t>
      </w:r>
      <w:r>
        <w:t>instrumenten</w:t>
      </w:r>
      <w:r w:rsidRPr="00B26823">
        <w:t xml:space="preserve"> zijn:</w:t>
      </w:r>
    </w:p>
    <w:p w14:paraId="084D235B" w14:textId="77777777" w:rsidR="00E33EDD" w:rsidRPr="00B26823" w:rsidRDefault="001C6F0F" w:rsidP="00E33EDD">
      <w:pPr>
        <w:pStyle w:val="Opsommingtekens1"/>
      </w:pPr>
      <w:r w:rsidRPr="00B26823">
        <w:t>Algemene Maatregel van Bestuur (Rijk)</w:t>
      </w:r>
    </w:p>
    <w:p w14:paraId="12521AE0" w14:textId="77777777" w:rsidR="00E33EDD" w:rsidRPr="00B26823" w:rsidRDefault="001C6F0F" w:rsidP="00E33EDD">
      <w:pPr>
        <w:pStyle w:val="Opsommingtekens1"/>
      </w:pPr>
      <w:r w:rsidRPr="00B26823">
        <w:t>Ministeriële Regeling (Rijk)</w:t>
      </w:r>
    </w:p>
    <w:p w14:paraId="72DDBB6B" w14:textId="77777777" w:rsidR="00E33EDD" w:rsidRPr="00B26823" w:rsidRDefault="001C6F0F" w:rsidP="00E33EDD">
      <w:pPr>
        <w:pStyle w:val="Opsommingtekens1"/>
      </w:pPr>
      <w:r w:rsidRPr="00B26823">
        <w:t>Omgevingsvisie (Rijk, provincies en gemeenten)</w:t>
      </w:r>
    </w:p>
    <w:p w14:paraId="3F6BF2FB" w14:textId="77777777" w:rsidR="00E33EDD" w:rsidRPr="00B26823" w:rsidRDefault="001C6F0F" w:rsidP="00E33EDD">
      <w:pPr>
        <w:pStyle w:val="Opsommingtekens1"/>
      </w:pPr>
      <w:r w:rsidRPr="00B26823">
        <w:t>Omgevingsverordening (Provincies)</w:t>
      </w:r>
    </w:p>
    <w:p w14:paraId="2B554B72" w14:textId="77777777" w:rsidR="00E33EDD" w:rsidRPr="00B26823" w:rsidRDefault="001C6F0F" w:rsidP="00E33EDD">
      <w:pPr>
        <w:pStyle w:val="Opsommingtekens1"/>
      </w:pPr>
      <w:r w:rsidRPr="00B26823">
        <w:t>Waterschapsverordening (Waterschappen)</w:t>
      </w:r>
    </w:p>
    <w:p w14:paraId="023C1A1A" w14:textId="77777777" w:rsidR="00E33EDD" w:rsidRPr="00B26823" w:rsidRDefault="001C6F0F" w:rsidP="00E33EDD">
      <w:pPr>
        <w:pStyle w:val="Opsommingtekens1"/>
      </w:pPr>
      <w:r w:rsidRPr="00B26823">
        <w:t>Omgevingsplan (Gemeenten)</w:t>
      </w:r>
    </w:p>
    <w:p w14:paraId="56C20813" w14:textId="77777777" w:rsidR="00E33EDD" w:rsidRPr="00B26823" w:rsidRDefault="001C6F0F" w:rsidP="00E33EDD">
      <w:pPr>
        <w:pStyle w:val="Opsommingtekens1"/>
      </w:pPr>
      <w:r w:rsidRPr="00B26823">
        <w:t>Projectbesluit (Rijk, provincies en waterschappen)</w:t>
      </w:r>
    </w:p>
    <w:p w14:paraId="6CBC9652" w14:textId="7C17310C" w:rsidR="00E33EDD" w:rsidRPr="00B26823" w:rsidRDefault="001C6F0F"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